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ind w:left="-540" w:leftChars="-257" w:right="-512" w:rightChars="-244" w:firstLine="500"/>
        <w:jc w:val="center"/>
        <w:rPr>
          <w:rFonts w:ascii="微软雅黑" w:hAnsi="微软雅黑" w:eastAsia="微软雅黑"/>
          <w:b/>
          <w:spacing w:val="20"/>
          <w:szCs w:val="21"/>
        </w:rPr>
      </w:pPr>
    </w:p>
    <w:p>
      <w:pPr>
        <w:ind w:left="84" w:leftChars="40" w:firstLine="198" w:firstLineChars="71"/>
        <w:jc w:val="center"/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隆众2019</w:t>
      </w:r>
      <w:r>
        <w:rPr>
          <w:rFonts w:hint="eastAsia" w:ascii="微软雅黑" w:hAnsi="微软雅黑" w:eastAsia="微软雅黑"/>
          <w:spacing w:val="20"/>
          <w:sz w:val="28"/>
          <w:szCs w:val="28"/>
        </w:rPr>
        <w:t>第四届（新加坡）亚太石油商务峰会</w:t>
      </w:r>
    </w:p>
    <w:p>
      <w:pPr>
        <w:ind w:left="181" w:firstLine="560"/>
        <w:jc w:val="center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会议时间：12月16日-20日</w:t>
      </w:r>
    </w:p>
    <w:p>
      <w:pPr>
        <w:spacing w:afterLines="50"/>
        <w:ind w:left="0" w:leftChars="0" w:firstLine="274" w:firstLineChars="98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会议地点：新加坡</w:t>
      </w:r>
    </w:p>
    <w:p>
      <w:pPr>
        <w:ind w:left="84" w:leftChars="40" w:firstLine="198" w:firstLineChars="71"/>
        <w:rPr>
          <w:rFonts w:hint="eastAsia"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会议名称：第四届（新加坡）亚太石油商务峰会</w:t>
      </w:r>
    </w:p>
    <w:p>
      <w:pPr>
        <w:adjustRightInd w:val="0"/>
        <w:snapToGrid w:val="0"/>
        <w:ind w:leftChars="0" w:firstLine="178" w:firstLineChars="71"/>
        <w:rPr>
          <w:rFonts w:ascii="微软雅黑" w:hAnsi="微软雅黑" w:eastAsia="微软雅黑"/>
          <w:b/>
          <w:spacing w:val="20"/>
          <w:szCs w:val="21"/>
        </w:rPr>
      </w:pPr>
      <w:r>
        <w:rPr>
          <w:rFonts w:hint="eastAsia" w:ascii="微软雅黑" w:hAnsi="微软雅黑" w:eastAsia="微软雅黑"/>
          <w:b/>
          <w:spacing w:val="20"/>
          <w:szCs w:val="21"/>
        </w:rPr>
        <w:t>主办及协办单位</w:t>
      </w:r>
    </w:p>
    <w:p>
      <w:pPr>
        <w:adjustRightInd w:val="0"/>
        <w:snapToGrid w:val="0"/>
        <w:ind w:leftChars="0" w:firstLine="149" w:firstLineChars="71"/>
        <w:rPr>
          <w:rStyle w:val="13"/>
          <w:rFonts w:ascii="微软雅黑" w:hAnsi="微软雅黑" w:eastAsia="微软雅黑"/>
          <w:sz w:val="21"/>
          <w:szCs w:val="21"/>
        </w:rPr>
      </w:pPr>
      <w:r>
        <w:rPr>
          <w:rStyle w:val="13"/>
          <w:rFonts w:hint="eastAsia" w:ascii="微软雅黑" w:hAnsi="微软雅黑" w:eastAsia="微软雅黑"/>
          <w:sz w:val="21"/>
          <w:szCs w:val="21"/>
        </w:rPr>
        <w:t>主办方：山东隆众信息技术有限公司</w:t>
      </w:r>
    </w:p>
    <w:p>
      <w:pPr>
        <w:adjustRightInd w:val="0"/>
        <w:snapToGrid w:val="0"/>
        <w:ind w:leftChars="0" w:firstLine="149" w:firstLineChars="71"/>
        <w:rPr>
          <w:rStyle w:val="13"/>
          <w:rFonts w:hint="eastAsia" w:ascii="微软雅黑" w:hAnsi="微软雅黑" w:eastAsia="微软雅黑"/>
          <w:sz w:val="24"/>
          <w:szCs w:val="24"/>
        </w:rPr>
      </w:pPr>
      <w:r>
        <w:rPr>
          <w:rStyle w:val="13"/>
          <w:rFonts w:hint="eastAsia" w:ascii="微软雅黑" w:hAnsi="微软雅黑" w:eastAsia="微软雅黑"/>
          <w:sz w:val="21"/>
          <w:szCs w:val="21"/>
        </w:rPr>
        <w:t>协办方</w:t>
      </w:r>
      <w:r>
        <w:rPr>
          <w:rStyle w:val="13"/>
          <w:rFonts w:ascii="微软雅黑" w:hAnsi="微软雅黑" w:eastAsia="微软雅黑"/>
          <w:sz w:val="21"/>
          <w:szCs w:val="21"/>
        </w:rPr>
        <w:t>：</w:t>
      </w:r>
      <w:r>
        <w:rPr>
          <w:rStyle w:val="13"/>
          <w:rFonts w:hint="eastAsia" w:ascii="微软雅黑" w:hAnsi="微软雅黑" w:eastAsia="微软雅黑"/>
          <w:sz w:val="21"/>
          <w:szCs w:val="21"/>
        </w:rPr>
        <w:t>招商</w:t>
      </w:r>
    </w:p>
    <w:p>
      <w:pPr>
        <w:ind w:left="84" w:leftChars="40" w:firstLine="198" w:firstLineChars="71"/>
        <w:rPr>
          <w:rFonts w:hint="eastAsia" w:ascii="微软雅黑" w:hAnsi="微软雅黑" w:eastAsia="微软雅黑"/>
          <w:spacing w:val="20"/>
          <w:sz w:val="24"/>
        </w:rPr>
      </w:pPr>
    </w:p>
    <w:p>
      <w:pPr>
        <w:spacing w:afterLines="50"/>
        <w:ind w:left="0" w:leftChars="0" w:firstLine="274" w:firstLineChars="98"/>
        <w:rPr>
          <w:rFonts w:ascii="微软雅黑" w:hAnsi="微软雅黑" w:eastAsia="微软雅黑"/>
          <w:spacing w:val="20"/>
          <w:sz w:val="24"/>
        </w:rPr>
      </w:pPr>
      <w:r>
        <w:rPr>
          <w:rFonts w:hint="eastAsia" w:ascii="微软雅黑" w:hAnsi="微软雅黑" w:eastAsia="微软雅黑"/>
          <w:spacing w:val="20"/>
          <w:sz w:val="24"/>
        </w:rPr>
        <w:t>会议主题</w:t>
      </w:r>
    </w:p>
    <w:p>
      <w:pPr>
        <w:spacing w:afterLines="50"/>
        <w:ind w:left="0" w:leftChars="0" w:firstLine="245" w:firstLineChars="98"/>
        <w:rPr>
          <w:rFonts w:hint="eastAsia" w:eastAsia="微软雅黑"/>
          <w:spacing w:val="20"/>
        </w:rPr>
      </w:pPr>
      <w:r>
        <w:rPr>
          <w:rFonts w:hint="eastAsia" w:eastAsia="微软雅黑"/>
          <w:spacing w:val="20"/>
        </w:rPr>
        <w:t>IMO2020政策实施在即，全球燃料油市场供需格局将面临新的变化。新加坡市场作为亚洲石油贸易中心</w:t>
      </w:r>
      <w:r>
        <w:rPr>
          <w:rFonts w:eastAsia="微软雅黑"/>
          <w:spacing w:val="20"/>
        </w:rPr>
        <w:t>以及</w:t>
      </w:r>
      <w:r>
        <w:rPr>
          <w:rFonts w:hint="eastAsia" w:eastAsia="微软雅黑"/>
          <w:spacing w:val="20"/>
        </w:rPr>
        <w:t>定价中心，</w:t>
      </w:r>
      <w:r>
        <w:rPr>
          <w:rFonts w:eastAsia="微软雅黑"/>
          <w:spacing w:val="20"/>
        </w:rPr>
        <w:t>其地位将</w:t>
      </w:r>
      <w:r>
        <w:rPr>
          <w:rFonts w:hint="eastAsia" w:eastAsia="微软雅黑"/>
          <w:spacing w:val="20"/>
        </w:rPr>
        <w:t>如何</w:t>
      </w:r>
      <w:r>
        <w:rPr>
          <w:rFonts w:eastAsia="微软雅黑"/>
          <w:spacing w:val="20"/>
        </w:rPr>
        <w:t>继续保持</w:t>
      </w:r>
      <w:r>
        <w:rPr>
          <w:rFonts w:hint="eastAsia" w:eastAsia="微软雅黑"/>
          <w:spacing w:val="20"/>
        </w:rPr>
        <w:t>，新加坡市场油品资源如何调整应对，企业如何完成顺利转变，都将对国内外油品市场贸易产生直接影响。</w:t>
      </w:r>
    </w:p>
    <w:p>
      <w:pPr>
        <w:spacing w:afterLines="50"/>
        <w:ind w:left="0" w:leftChars="0" w:firstLine="245" w:firstLineChars="98"/>
        <w:rPr>
          <w:rFonts w:hint="eastAsia" w:eastAsia="微软雅黑"/>
          <w:spacing w:val="20"/>
        </w:rPr>
      </w:pPr>
      <w:r>
        <w:rPr>
          <w:rFonts w:hint="eastAsia" w:eastAsia="微软雅黑"/>
          <w:spacing w:val="20"/>
        </w:rPr>
        <w:t>全球低硫化给中国船燃市场也带来新的挑战和机遇。目前中石化布局10家炼厂、中石油布局8+1家炼厂、中化、中海油等炼厂针对低硫燃料油，均有生产供应计划。另外，不同税号下的低硫船用燃料油混兑项目已陆续开展。燃料油一般贸易出口退税政策也在各单位推动下逐步落实，国内资源是否可以突破限制，进入国际市场竞争？</w:t>
      </w:r>
    </w:p>
    <w:p>
      <w:pPr>
        <w:spacing w:afterLines="50"/>
        <w:ind w:left="0" w:leftChars="0" w:firstLine="245" w:firstLineChars="98"/>
        <w:rPr>
          <w:rFonts w:eastAsia="微软雅黑"/>
          <w:spacing w:val="20"/>
        </w:rPr>
      </w:pPr>
      <w:r>
        <w:rPr>
          <w:rFonts w:hint="eastAsia" w:eastAsia="微软雅黑"/>
          <w:spacing w:val="20"/>
        </w:rPr>
        <w:t>在此背景下，隆众资讯将召开2019第四届（新加坡）亚太石油商务峰会，为国内外客户搭建交流平台，相聚亚洲石油贸易中心---新加坡，共同探讨新的市场环境下，油品企业的发展思路和方向。</w:t>
      </w:r>
    </w:p>
    <w:p>
      <w:pPr>
        <w:numPr>
          <w:ilvl w:val="0"/>
          <w:numId w:val="1"/>
        </w:numPr>
        <w:spacing w:afterLines="50"/>
        <w:ind w:left="84" w:leftChars="40" w:firstLine="198" w:firstLineChars="71"/>
        <w:rPr>
          <w:rFonts w:eastAsia="微软雅黑"/>
          <w:spacing w:val="20"/>
        </w:rPr>
      </w:pPr>
      <w:r>
        <w:rPr>
          <w:rFonts w:hint="eastAsia" w:ascii="微软雅黑" w:hAnsi="微软雅黑" w:eastAsia="微软雅黑"/>
          <w:spacing w:val="20"/>
          <w:sz w:val="24"/>
        </w:rPr>
        <w:t>会议亮点：</w:t>
      </w:r>
    </w:p>
    <w:p>
      <w:pPr>
        <w:numPr>
          <w:ilvl w:val="0"/>
          <w:numId w:val="0"/>
        </w:numPr>
        <w:spacing w:afterLines="50"/>
        <w:rPr>
          <w:rFonts w:eastAsia="微软雅黑"/>
          <w:spacing w:val="20"/>
        </w:rPr>
      </w:pPr>
      <w:bookmarkStart w:id="1" w:name="_GoBack"/>
      <w:r>
        <w:rPr>
          <w:rFonts w:hint="eastAsia" w:eastAsia="微软雅黑"/>
          <w:spacing w:val="20"/>
        </w:rPr>
        <w:t>1、IMO2020，国内外船供油企业、船东做了哪些准备？市场转换中的市场机遇？</w:t>
      </w:r>
    </w:p>
    <w:p>
      <w:pPr>
        <w:ind w:left="0" w:leftChars="0" w:firstLine="0" w:firstLineChars="0"/>
        <w:rPr>
          <w:rFonts w:hint="eastAsia" w:eastAsia="微软雅黑"/>
          <w:spacing w:val="20"/>
        </w:rPr>
      </w:pPr>
      <w:r>
        <w:rPr>
          <w:rFonts w:eastAsia="微软雅黑"/>
          <w:spacing w:val="20"/>
        </w:rPr>
        <w:t>2</w:t>
      </w:r>
      <w:r>
        <w:rPr>
          <w:rFonts w:hint="eastAsia" w:eastAsia="微软雅黑"/>
          <w:spacing w:val="20"/>
        </w:rPr>
        <w:t>、国内产能过剩背景下，中国燃料油一般贸易出口退税政策逐步落实中，炼化企业如何把握全球低硫化商机？</w:t>
      </w:r>
    </w:p>
    <w:p>
      <w:pPr>
        <w:ind w:left="0" w:leftChars="0" w:firstLine="0" w:firstLineChars="0"/>
        <w:rPr>
          <w:rFonts w:eastAsia="微软雅黑"/>
          <w:spacing w:val="20"/>
        </w:rPr>
      </w:pPr>
      <w:r>
        <w:rPr>
          <w:rFonts w:hint="eastAsia" w:eastAsia="微软雅黑"/>
          <w:spacing w:val="20"/>
        </w:rPr>
        <w:t>3、作为亚洲最大的船供油中心，低硫影响下，供应链各环节发生了哪些变化，低硫原料资源供应状况如何？低硫燃料油定价将如何实现标准化？</w:t>
      </w:r>
    </w:p>
    <w:bookmarkEnd w:id="1"/>
    <w:p>
      <w:pPr>
        <w:spacing w:afterLines="50"/>
        <w:ind w:left="0" w:leftChars="0" w:firstLine="0" w:firstLineChars="0"/>
      </w:pPr>
      <w:bookmarkStart w:id="0" w:name="OLE_LINK2"/>
      <w:r>
        <w:rPr>
          <w:rStyle w:val="13"/>
          <w:rFonts w:hint="eastAsia" w:ascii="微软雅黑" w:hAnsi="微软雅黑" w:eastAsia="微软雅黑"/>
          <w:sz w:val="24"/>
          <w:szCs w:val="24"/>
        </w:rPr>
        <w:t>七、会议日程安排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-30480</wp:posOffset>
                </wp:positionV>
                <wp:extent cx="1828800" cy="6000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181" w:firstLine="1004"/>
                              <w:jc w:val="center"/>
                              <w:rPr>
                                <w:b/>
                                <w:color w:val="FFFEFD" w:themeColor="accent6" w:themeTint="03"/>
                                <w:spacing w:val="10"/>
                                <w:sz w:val="48"/>
                                <w:szCs w:val="48"/>
                                <w14:textFill>
                                  <w14:solidFill>
                                    <w14:schemeClr w14:val="accent6">
                                      <w14:lumMod w14:val="1000"/>
                                      <w14:lumOff w14:val="99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EFD" w:themeColor="accent6" w:themeTint="03"/>
                                <w:spacing w:val="10"/>
                                <w:sz w:val="48"/>
                                <w:szCs w:val="48"/>
                                <w14:textFill>
                                  <w14:solidFill>
                                    <w14:schemeClr w14:val="accent6">
                                      <w14:lumMod w14:val="1000"/>
                                      <w14:lumOff w14:val="99000"/>
                                    </w14:schemeClr>
                                  </w14:solidFill>
                                </w14:textFill>
                              </w:rPr>
                              <w:t>日程安排</w:t>
                            </w:r>
                          </w:p>
                          <w:p>
                            <w:pPr>
                              <w:ind w:left="181" w:firstLine="1004"/>
                              <w:jc w:val="center"/>
                              <w:rPr>
                                <w:b/>
                                <w:color w:val="FFFEFD" w:themeColor="accent6" w:themeTint="03"/>
                                <w:spacing w:val="10"/>
                                <w:sz w:val="48"/>
                                <w:szCs w:val="48"/>
                                <w14:textFill>
                                  <w14:solidFill>
                                    <w14:schemeClr w14:val="accent6">
                                      <w14:lumMod w14:val="1000"/>
                                      <w14:lumOff w14:val="99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-2.4pt;height:47.25pt;width:144pt;mso-wrap-style:none;z-index:251659264;mso-width-relative:page;mso-height-relative:page;" filled="f" stroked="f" coordsize="21600,21600" o:gfxdata="UEsDBAoAAAAAAIdO4kAAAAAAAAAAAAAAAAAEAAAAZHJzL1BLAwQUAAAACACHTuJAbF3drNoAAAAJ&#10;AQAADwAAAGRycy9kb3ducmV2LnhtbE2PwU7DMAyG70i8Q2QkLmhLW2Arpe4OILgwDTE4cEwb0xaa&#10;pEqybvD0Myc42v71+/vK1cEMYiIfemcR0nkCgmzjdG9bhLfXh1kOIkRltRqcJYRvCrCqTk9KVWi3&#10;ty80bWMruMSGQiF0MY6FlKHpyKgwdyNZvn04b1Tk0bdSe7XncjPILEkW0qje8odOjXTXUfO13RmE&#10;n2e/dlm2fkzr98t+ivcXn5unDeL5WZrcgoh0iH9h+MVndKiYqXY7q4MYELI8Z5eIMLtiBQ5cLxe8&#10;qBHymyXIqpT/DaojUEsDBBQAAAAIAIdO4kCUua/DGgIAAB0EAAAOAAAAZHJzL2Uyb0RvYy54bWyt&#10;U82O2jAQvlfqO1i+lwTE7tKIsKK7oqqEuivRqmfj2MRS7LFsQ0IfoH2DnnrZe5+L5+jYAZb+nKpe&#10;7PnzeOabb6a3nW7ITjivwJR0OMgpEYZDpcympB8/LF5NKPGBmYo1YERJ98LT29nLF9PWFmIENTSV&#10;cASTGF+0tqR1CLbIMs9roZkfgBUGnRKcZgFVt8kqx1rMrptslOfXWQuusg648B6t972TzlJ+KQUP&#10;D1J6EUhTUqwtpNOlcx3PbDZlxcYxWyt+LIP9QxWaKYOfnlPds8DI1qk/UmnFHXiQYcBBZyCl4iL1&#10;gN0M89+6WdXMitQLguPtGSb//9Ly97tHR1SFsxtTYpjGGR2+fT18/3F4+kLQhgC11hcYt7IYGbo3&#10;0GHwye7RGPvupNPxxo4I+hHq/Rle0QXC46PJaDLJ0cXRd53n+c1VTJM9v7bOh7cCNIlCSR2OL6HK&#10;dksf+tBTSPzMwEI1TRphY34xYM7eIhIHjq9jI33BUQrdujt2t4Zqj8056PnhLV8orGDJfHhkDgmB&#10;RSPJwwMesoG2pHCUKKnBff6bPcbjnNBLSYsEK6nBDaCkeWdwfq+H43HkY1LGVzcjVNylZ33pMVt9&#10;B8jgIS6T5UmM8aE5idKB/oSbMI9/oosZjj+XNJzEu9CTHjeJi/k8BSEDLQtLs7I8pu4BnG8DSJXA&#10;jiD1yOCQooIcTOM67ksk+aWeop63ev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F3drNoAAAAJ&#10;AQAADwAAAAAAAAABACAAAAAiAAAAZHJzL2Rvd25yZXYueG1sUEsBAhQAFAAAAAgAh07iQJS5r8Ma&#10;AgAAHQQAAA4AAAAAAAAAAQAgAAAAK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81" w:firstLine="1004"/>
                        <w:jc w:val="center"/>
                        <w:rPr>
                          <w:b/>
                          <w:color w:val="FFFEFD" w:themeColor="accent6" w:themeTint="03"/>
                          <w:spacing w:val="10"/>
                          <w:sz w:val="48"/>
                          <w:szCs w:val="48"/>
                          <w14:textFill>
                            <w14:solidFill>
                              <w14:schemeClr w14:val="accent6">
                                <w14:lumMod w14:val="1000"/>
                                <w14:lumOff w14:val="99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EFD" w:themeColor="accent6" w:themeTint="03"/>
                          <w:spacing w:val="10"/>
                          <w:sz w:val="48"/>
                          <w:szCs w:val="48"/>
                          <w14:textFill>
                            <w14:solidFill>
                              <w14:schemeClr w14:val="accent6">
                                <w14:lumMod w14:val="1000"/>
                                <w14:lumOff w14:val="99000"/>
                              </w14:schemeClr>
                            </w14:solidFill>
                          </w14:textFill>
                        </w:rPr>
                        <w:t>日程安排</w:t>
                      </w:r>
                    </w:p>
                    <w:p>
                      <w:pPr>
                        <w:ind w:left="181" w:firstLine="1004"/>
                        <w:jc w:val="center"/>
                        <w:rPr>
                          <w:b/>
                          <w:color w:val="FFFEFD" w:themeColor="accent6" w:themeTint="03"/>
                          <w:spacing w:val="10"/>
                          <w:sz w:val="48"/>
                          <w:szCs w:val="48"/>
                          <w14:textFill>
                            <w14:solidFill>
                              <w14:schemeClr w14:val="accent6">
                                <w14:lumMod w14:val="1000"/>
                                <w14:lumOff w14:val="99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16"/>
        <w:gridCol w:w="2134"/>
        <w:gridCol w:w="5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1" w:type="pct"/>
            <w:shd w:val="clear" w:color="auto" w:fill="FABF8F" w:themeFill="accent6" w:themeFillTint="99"/>
            <w:vAlign w:val="center"/>
          </w:tcPr>
          <w:p>
            <w:pPr>
              <w:pStyle w:val="5"/>
              <w:spacing w:line="332" w:lineRule="atLeast"/>
              <w:ind w:left="181" w:firstLine="422"/>
              <w:jc w:val="center"/>
              <w:textAlignment w:val="center"/>
              <w:rPr>
                <w:rFonts w:hAnsi="Arial" w:cs="Arial"/>
                <w:b/>
                <w:bCs/>
                <w:color w:val="000000"/>
                <w:kern w:val="24"/>
              </w:rPr>
            </w:pPr>
            <w:r>
              <w:rPr>
                <w:rFonts w:hint="eastAsia" w:hAnsi="Arial" w:cs="Arial"/>
                <w:b/>
                <w:bCs/>
                <w:color w:val="000000"/>
                <w:kern w:val="24"/>
              </w:rPr>
              <w:t>项目</w:t>
            </w:r>
          </w:p>
        </w:tc>
        <w:tc>
          <w:tcPr>
            <w:tcW w:w="663" w:type="pct"/>
            <w:shd w:val="clear" w:color="auto" w:fill="FABF8F" w:themeFill="accent6" w:themeFillTint="99"/>
            <w:vAlign w:val="center"/>
          </w:tcPr>
          <w:p>
            <w:pPr>
              <w:pStyle w:val="5"/>
              <w:spacing w:line="332" w:lineRule="atLeast"/>
              <w:ind w:left="181" w:firstLine="422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hAnsi="Arial" w:cs="Arial"/>
                <w:b/>
                <w:bCs/>
                <w:color w:val="000000"/>
                <w:kern w:val="24"/>
              </w:rPr>
              <w:t>日期</w:t>
            </w:r>
          </w:p>
        </w:tc>
        <w:tc>
          <w:tcPr>
            <w:tcW w:w="999" w:type="pct"/>
            <w:shd w:val="clear" w:color="auto" w:fill="FABF8F" w:themeFill="accent6" w:themeFillTint="99"/>
            <w:vAlign w:val="center"/>
          </w:tcPr>
          <w:p>
            <w:pPr>
              <w:pStyle w:val="5"/>
              <w:spacing w:line="332" w:lineRule="atLeast"/>
              <w:ind w:left="181" w:firstLine="422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hAnsi="Arial" w:cs="Arial"/>
                <w:b/>
                <w:bCs/>
                <w:color w:val="000000"/>
                <w:kern w:val="24"/>
              </w:rPr>
              <w:t>时间</w:t>
            </w:r>
          </w:p>
        </w:tc>
        <w:tc>
          <w:tcPr>
            <w:tcW w:w="2557" w:type="pct"/>
            <w:shd w:val="clear" w:color="auto" w:fill="FABF8F" w:themeFill="accent6" w:themeFillTint="99"/>
            <w:vAlign w:val="center"/>
          </w:tcPr>
          <w:p>
            <w:pPr>
              <w:pStyle w:val="5"/>
              <w:spacing w:line="332" w:lineRule="atLeast"/>
              <w:ind w:left="181" w:right="-1117" w:rightChars="-532" w:firstLine="422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hAnsi="Arial" w:cs="Arial"/>
                <w:b/>
                <w:bCs/>
                <w:color w:val="000000"/>
                <w:kern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至新加坡</w:t>
            </w:r>
          </w:p>
        </w:tc>
        <w:tc>
          <w:tcPr>
            <w:tcW w:w="663" w:type="pct"/>
            <w:vAlign w:val="center"/>
          </w:tcPr>
          <w:p>
            <w:pPr>
              <w:ind w:left="84" w:leftChars="4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12月16日</w:t>
            </w:r>
          </w:p>
        </w:tc>
        <w:tc>
          <w:tcPr>
            <w:tcW w:w="999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全天报到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2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酒店报到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81" w:type="pct"/>
            <w:vMerge w:val="restar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闭门研讨</w:t>
            </w:r>
          </w:p>
          <w:p>
            <w:pPr>
              <w:ind w:left="181" w:firstLine="482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663" w:type="pct"/>
            <w:vMerge w:val="restart"/>
            <w:vAlign w:val="center"/>
          </w:tcPr>
          <w:p>
            <w:pPr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12月17日</w:t>
            </w:r>
          </w:p>
          <w:p>
            <w:pPr>
              <w:ind w:left="84" w:leftChars="40" w:firstLine="199" w:firstLineChars="83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上午</w:t>
            </w: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09:00-09:40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国际原油市场2019年回顾及2020年展望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181" w:firstLine="482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663" w:type="pct"/>
            <w:vMerge w:val="continue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09:40-10：20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中国燃料油市场2019年回顾及2020年展望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181" w:firstLine="482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663" w:type="pct"/>
            <w:vMerge w:val="continue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10：30-11:10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IMO2020对全球燃料油市场的冲击和影响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181" w:firstLine="482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663" w:type="pct"/>
            <w:vMerge w:val="continue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11:10-11：50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燃料油期货对新加坡油品市场的影响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1" w:type="pct"/>
            <w:vMerge w:val="continue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ind w:left="84" w:leftChars="40" w:firstLine="199" w:firstLineChars="83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中午</w:t>
            </w: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12:00-15:00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午餐/当地企业与国内企业一对一商务交流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81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拜访企业</w:t>
            </w:r>
          </w:p>
        </w:tc>
        <w:tc>
          <w:tcPr>
            <w:tcW w:w="663" w:type="pct"/>
            <w:vAlign w:val="center"/>
          </w:tcPr>
          <w:p>
            <w:pPr>
              <w:ind w:left="84" w:leftChars="40"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12月17日</w:t>
            </w:r>
          </w:p>
          <w:p>
            <w:pPr>
              <w:ind w:left="181"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下午</w:t>
            </w: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15: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00</w:t>
            </w:r>
            <w:r>
              <w:rPr>
                <w:rFonts w:hint="eastAsia" w:ascii="楷体" w:hAnsi="楷体" w:eastAsia="楷体"/>
                <w:sz w:val="24"/>
              </w:rPr>
              <w:t>-17:00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参观燃料油现货交易窗口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拜访企业</w:t>
            </w:r>
          </w:p>
        </w:tc>
        <w:tc>
          <w:tcPr>
            <w:tcW w:w="663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12月18日</w:t>
            </w:r>
          </w:p>
        </w:tc>
        <w:tc>
          <w:tcPr>
            <w:tcW w:w="999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9：00-17：00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新加坡亚太交易所（APEX）/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SDE International Pte Ltd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hint="eastAsia" w:ascii="楷体" w:hAnsi="楷体" w:eastAsia="楷体"/>
                <w:sz w:val="24"/>
              </w:rPr>
              <w:t>新加坡交易所（SGX）/恒逸新加坡/振华石油新加坡/中海油新加坡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自由活动</w:t>
            </w:r>
          </w:p>
        </w:tc>
        <w:tc>
          <w:tcPr>
            <w:tcW w:w="663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12月19日</w:t>
            </w:r>
          </w:p>
        </w:tc>
        <w:tc>
          <w:tcPr>
            <w:tcW w:w="999" w:type="pct"/>
            <w:vAlign w:val="center"/>
          </w:tcPr>
          <w:p>
            <w:pPr>
              <w:ind w:left="181" w:firstLine="48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全天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商务活动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vAlign w:val="center"/>
          </w:tcPr>
          <w:p>
            <w:pPr>
              <w:ind w:left="84" w:leftChars="40" w:firstLine="198" w:firstLineChars="82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回国</w:t>
            </w:r>
          </w:p>
        </w:tc>
        <w:tc>
          <w:tcPr>
            <w:tcW w:w="663" w:type="pct"/>
            <w:vAlign w:val="center"/>
          </w:tcPr>
          <w:p>
            <w:pPr>
              <w:ind w:left="181"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12月20日</w:t>
            </w:r>
          </w:p>
        </w:tc>
        <w:tc>
          <w:tcPr>
            <w:tcW w:w="999" w:type="pct"/>
            <w:vAlign w:val="center"/>
          </w:tcPr>
          <w:p>
            <w:pPr>
              <w:ind w:left="181" w:firstLine="48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全天</w:t>
            </w:r>
          </w:p>
        </w:tc>
        <w:tc>
          <w:tcPr>
            <w:tcW w:w="2557" w:type="pct"/>
            <w:vAlign w:val="center"/>
          </w:tcPr>
          <w:p>
            <w:pPr>
              <w:ind w:left="181" w:firstLine="482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返回广州机场</w:t>
            </w:r>
          </w:p>
        </w:tc>
      </w:tr>
    </w:tbl>
    <w:p>
      <w:pPr>
        <w:ind w:left="0" w:leftChars="0" w:firstLine="0"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备注：实际拜访企业安排，按当天实际情况为准。</w:t>
      </w:r>
    </w:p>
    <w:p>
      <w:pPr>
        <w:spacing w:afterLines="50"/>
        <w:ind w:left="84" w:leftChars="40" w:firstLine="178" w:firstLineChars="71"/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  <w:t>重要提示：</w:t>
      </w:r>
    </w:p>
    <w:p>
      <w:pPr>
        <w:numPr>
          <w:ilvl w:val="0"/>
          <w:numId w:val="2"/>
        </w:numPr>
        <w:spacing w:afterLines="50"/>
        <w:ind w:left="84" w:leftChars="40" w:firstLine="178" w:firstLineChars="71"/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  <w:t>为确保交流考察质量，名额仅限15席。</w:t>
      </w:r>
    </w:p>
    <w:p>
      <w:pPr>
        <w:numPr>
          <w:ilvl w:val="0"/>
          <w:numId w:val="2"/>
        </w:numPr>
        <w:spacing w:afterLines="50"/>
        <w:ind w:left="84" w:leftChars="40" w:firstLine="178" w:firstLineChars="71"/>
        <w:rPr>
          <w:rFonts w:hint="default" w:ascii="微软雅黑" w:hAnsi="微软雅黑" w:eastAsia="微软雅黑"/>
          <w:b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  <w:t>因酒店预订，报名最终截止时间提前半个月（12月7日截止）</w:t>
      </w:r>
    </w:p>
    <w:p>
      <w:pPr>
        <w:numPr>
          <w:ilvl w:val="0"/>
          <w:numId w:val="2"/>
        </w:numPr>
        <w:spacing w:afterLines="50"/>
        <w:ind w:left="84" w:leftChars="40" w:firstLine="178" w:firstLineChars="71"/>
        <w:rPr>
          <w:rFonts w:hint="default" w:ascii="微软雅黑" w:hAnsi="微软雅黑" w:eastAsia="微软雅黑"/>
          <w:b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  <w:t>护照、签证申请（约15个工作日）、需自行在户籍所在地出入境管理局办理，在收到回执后我们将与您取得联系，请积极配合提交相关证件。</w:t>
      </w:r>
    </w:p>
    <w:p>
      <w:pPr>
        <w:numPr>
          <w:ilvl w:val="0"/>
          <w:numId w:val="2"/>
        </w:numPr>
        <w:spacing w:afterLines="50"/>
        <w:ind w:left="84" w:leftChars="40" w:firstLine="178" w:firstLineChars="71"/>
        <w:rPr>
          <w:rFonts w:hint="eastAsia" w:ascii="微软雅黑" w:hAnsi="微软雅黑" w:eastAsia="微软雅黑"/>
          <w:b/>
          <w:spacing w:val="20"/>
          <w:szCs w:val="21"/>
        </w:rPr>
      </w:pPr>
      <w:r>
        <w:rPr>
          <w:rFonts w:hint="eastAsia" w:ascii="微软雅黑" w:hAnsi="微软雅黑" w:eastAsia="微软雅黑"/>
          <w:b/>
          <w:spacing w:val="20"/>
          <w:szCs w:val="21"/>
          <w:lang w:val="en-US" w:eastAsia="zh-CN"/>
        </w:rPr>
        <w:t>如最终不成团，我们将退还因签证等手续已发生费用之外的所有款项。</w:t>
      </w:r>
    </w:p>
    <w:p>
      <w:pPr>
        <w:spacing w:afterLines="50"/>
        <w:ind w:left="84" w:leftChars="40" w:firstLine="178" w:firstLineChars="71"/>
        <w:rPr>
          <w:rFonts w:ascii="微软雅黑" w:hAnsi="微软雅黑" w:eastAsia="微软雅黑"/>
          <w:b/>
          <w:spacing w:val="20"/>
          <w:szCs w:val="21"/>
        </w:rPr>
      </w:pPr>
      <w:r>
        <w:rPr>
          <w:rFonts w:hint="eastAsia" w:ascii="微软雅黑" w:hAnsi="微软雅黑" w:eastAsia="微软雅黑"/>
          <w:b/>
          <w:spacing w:val="20"/>
          <w:szCs w:val="21"/>
        </w:rPr>
        <w:t>九、目标参会客户</w:t>
      </w:r>
    </w:p>
    <w:p>
      <w:pPr>
        <w:adjustRightInd w:val="0"/>
        <w:snapToGrid w:val="0"/>
        <w:ind w:leftChars="0" w:firstLine="149" w:firstLineChars="71"/>
        <w:rPr>
          <w:rFonts w:ascii="黑体" w:hAnsi="微软雅黑" w:eastAsia="黑体" w:cs="微软雅黑"/>
          <w:sz w:val="24"/>
          <w:szCs w:val="32"/>
        </w:rPr>
      </w:pPr>
      <w:r>
        <w:rPr>
          <w:rStyle w:val="13"/>
          <w:rFonts w:hint="eastAsia" w:ascii="微软雅黑" w:hAnsi="微软雅黑" w:eastAsia="微软雅黑"/>
          <w:sz w:val="21"/>
          <w:szCs w:val="21"/>
        </w:rPr>
        <w:t>1、</w:t>
      </w:r>
      <w:r>
        <w:rPr>
          <w:rFonts w:hint="eastAsia" w:ascii="黑体" w:hAnsi="微软雅黑" w:eastAsia="黑体" w:cs="微软雅黑"/>
          <w:sz w:val="24"/>
          <w:szCs w:val="32"/>
        </w:rPr>
        <w:t>生产厂家：有低硫燃料油生产计划的炼厂；</w:t>
      </w:r>
    </w:p>
    <w:p>
      <w:pPr>
        <w:adjustRightInd w:val="0"/>
        <w:snapToGrid w:val="0"/>
        <w:ind w:leftChars="0" w:firstLine="149" w:firstLineChars="71"/>
        <w:rPr>
          <w:rFonts w:ascii="黑体" w:hAnsi="微软雅黑" w:eastAsia="黑体" w:cs="微软雅黑"/>
          <w:sz w:val="24"/>
          <w:szCs w:val="32"/>
        </w:rPr>
      </w:pPr>
      <w:r>
        <w:rPr>
          <w:rStyle w:val="13"/>
          <w:rFonts w:hint="eastAsia" w:ascii="微软雅黑" w:hAnsi="微软雅黑" w:eastAsia="微软雅黑"/>
          <w:sz w:val="21"/>
          <w:szCs w:val="21"/>
        </w:rPr>
        <w:t>2、</w:t>
      </w:r>
      <w:r>
        <w:rPr>
          <w:rFonts w:hint="eastAsia" w:ascii="黑体" w:hAnsi="微软雅黑" w:eastAsia="黑体" w:cs="微软雅黑"/>
          <w:sz w:val="24"/>
          <w:szCs w:val="32"/>
        </w:rPr>
        <w:t>原油、燃料油、轻质循环油等油品贸易企业；</w:t>
      </w:r>
    </w:p>
    <w:p>
      <w:pPr>
        <w:adjustRightInd w:val="0"/>
        <w:snapToGrid w:val="0"/>
        <w:ind w:leftChars="0" w:firstLine="149" w:firstLineChars="71"/>
        <w:rPr>
          <w:rFonts w:ascii="黑体" w:hAnsi="微软雅黑" w:eastAsia="黑体" w:cs="微软雅黑"/>
          <w:sz w:val="24"/>
          <w:szCs w:val="32"/>
        </w:rPr>
      </w:pPr>
      <w:r>
        <w:rPr>
          <w:rStyle w:val="13"/>
          <w:rFonts w:hint="eastAsia" w:ascii="微软雅黑" w:hAnsi="微软雅黑" w:eastAsia="微软雅黑"/>
          <w:sz w:val="21"/>
          <w:szCs w:val="21"/>
        </w:rPr>
        <w:t>3、保</w:t>
      </w:r>
      <w:r>
        <w:rPr>
          <w:rFonts w:hint="eastAsia" w:ascii="黑体" w:hAnsi="微软雅黑" w:eastAsia="黑体" w:cs="微软雅黑"/>
          <w:sz w:val="24"/>
          <w:szCs w:val="32"/>
        </w:rPr>
        <w:t>税燃料油船供油企业</w:t>
      </w:r>
      <w:bookmarkEnd w:id="0"/>
      <w:r>
        <w:rPr>
          <w:rFonts w:hint="eastAsia" w:ascii="黑体" w:hAnsi="微软雅黑" w:eastAsia="黑体" w:cs="微软雅黑"/>
          <w:sz w:val="24"/>
          <w:szCs w:val="32"/>
        </w:rPr>
        <w:t>；</w:t>
      </w:r>
    </w:p>
    <w:p>
      <w:pPr>
        <w:adjustRightInd w:val="0"/>
        <w:snapToGrid w:val="0"/>
        <w:ind w:leftChars="0" w:firstLine="170" w:firstLineChars="71"/>
        <w:rPr>
          <w:rFonts w:ascii="黑体" w:hAnsi="微软雅黑" w:eastAsia="黑体" w:cs="微软雅黑"/>
          <w:sz w:val="24"/>
          <w:szCs w:val="32"/>
        </w:rPr>
      </w:pPr>
      <w:r>
        <w:rPr>
          <w:rFonts w:hint="eastAsia" w:ascii="黑体" w:hAnsi="微软雅黑" w:eastAsia="黑体" w:cs="微软雅黑"/>
          <w:sz w:val="24"/>
          <w:szCs w:val="32"/>
        </w:rPr>
        <w:t>4、航运、船务等物流运输相关企业；</w:t>
      </w:r>
    </w:p>
    <w:p>
      <w:pPr>
        <w:spacing w:line="480" w:lineRule="auto"/>
        <w:ind w:leftChars="0" w:firstLine="199" w:firstLineChars="83"/>
        <w:rPr>
          <w:rFonts w:ascii="黑体" w:hAnsi="微软雅黑" w:eastAsia="黑体" w:cs="微软雅黑"/>
          <w:sz w:val="24"/>
          <w:szCs w:val="32"/>
        </w:rPr>
      </w:pPr>
      <w:r>
        <w:rPr>
          <w:rFonts w:hint="eastAsia" w:ascii="黑体" w:hAnsi="微软雅黑" w:eastAsia="黑体" w:cs="微软雅黑"/>
          <w:sz w:val="24"/>
          <w:szCs w:val="32"/>
        </w:rPr>
        <w:t>5、相关油品进出口企业、期货公司、投资公司、融资企业、石化交易平台（交易中心）；</w:t>
      </w:r>
    </w:p>
    <w:p>
      <w:pPr>
        <w:spacing w:line="480" w:lineRule="auto"/>
        <w:ind w:leftChars="0" w:firstLine="199" w:firstLineChars="83"/>
        <w:rPr>
          <w:rFonts w:ascii="黑体" w:hAnsi="微软雅黑" w:eastAsia="黑体" w:cs="微软雅黑"/>
          <w:sz w:val="24"/>
          <w:szCs w:val="32"/>
        </w:rPr>
      </w:pPr>
      <w:r>
        <w:rPr>
          <w:rFonts w:hint="eastAsia" w:ascii="黑体" w:hAnsi="微软雅黑" w:eastAsia="黑体" w:cs="微软雅黑"/>
          <w:sz w:val="24"/>
          <w:szCs w:val="32"/>
        </w:rPr>
        <w:t>6、港口码头、油库、港务、保税仓储、油品检测、仪器设备等第三方支持单位。</w:t>
      </w:r>
    </w:p>
    <w:p>
      <w:pPr>
        <w:adjustRightInd w:val="0"/>
        <w:snapToGrid w:val="0"/>
        <w:ind w:leftChars="0" w:firstLine="149" w:firstLineChars="71"/>
        <w:rPr>
          <w:rStyle w:val="13"/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/>
          <w:b/>
          <w:sz w:val="21"/>
          <w:szCs w:val="21"/>
        </w:rPr>
        <w:t>十、</w:t>
      </w:r>
      <w:r>
        <w:rPr>
          <w:rStyle w:val="13"/>
          <w:rFonts w:hint="eastAsia" w:ascii="微软雅黑" w:hAnsi="微软雅黑" w:eastAsia="微软雅黑"/>
          <w:b/>
          <w:sz w:val="21"/>
          <w:szCs w:val="21"/>
          <w:lang w:val="en-US" w:eastAsia="zh-CN"/>
        </w:rPr>
        <w:t>会议销售政策</w:t>
      </w:r>
    </w:p>
    <w:p>
      <w:pPr>
        <w:adjustRightInd w:val="0"/>
        <w:snapToGrid w:val="0"/>
        <w:ind w:leftChars="0" w:firstLine="149" w:firstLineChars="71"/>
        <w:rPr>
          <w:rStyle w:val="13"/>
          <w:rFonts w:hint="default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/>
          <w:b/>
          <w:sz w:val="21"/>
          <w:szCs w:val="21"/>
          <w:lang w:val="en-US" w:eastAsia="zh-CN"/>
        </w:rPr>
        <w:t>代表人数（同一企业打款）              参会客户</w:t>
      </w:r>
    </w:p>
    <w:p>
      <w:pPr>
        <w:adjustRightInd w:val="0"/>
        <w:snapToGrid w:val="0"/>
        <w:ind w:leftChars="0" w:firstLine="149" w:firstLineChars="71"/>
        <w:rPr>
          <w:rStyle w:val="13"/>
          <w:rFonts w:hint="default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/>
          <w:b/>
          <w:sz w:val="21"/>
          <w:szCs w:val="21"/>
          <w:lang w:val="en-US" w:eastAsia="zh-CN"/>
        </w:rPr>
        <w:t>价格标准                           RMB18000元/人（含三天四晚食宿）</w:t>
      </w:r>
    </w:p>
    <w:p>
      <w:pPr>
        <w:adjustRightInd w:val="0"/>
        <w:snapToGrid w:val="0"/>
        <w:ind w:leftChars="0" w:firstLine="149" w:firstLineChars="71"/>
        <w:rPr>
          <w:rStyle w:val="13"/>
          <w:rFonts w:hint="default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Style w:val="13"/>
          <w:rFonts w:hint="eastAsia" w:ascii="微软雅黑" w:hAnsi="微软雅黑" w:eastAsia="微软雅黑"/>
          <w:b/>
          <w:sz w:val="21"/>
          <w:szCs w:val="21"/>
          <w:lang w:val="en-US" w:eastAsia="zh-CN"/>
        </w:rPr>
        <w:t>新加坡本地闭门会议                 RMB6000元/人</w:t>
      </w:r>
    </w:p>
    <w:p>
      <w:pPr>
        <w:spacing w:afterLines="50"/>
        <w:ind w:leftChars="0" w:firstLine="200" w:firstLineChars="95"/>
        <w:rPr>
          <w:rFonts w:ascii="微软雅黑" w:hAnsi="微软雅黑" w:eastAsia="微软雅黑"/>
          <w:b/>
          <w:szCs w:val="21"/>
        </w:rPr>
      </w:pPr>
    </w:p>
    <w:p>
      <w:pPr>
        <w:spacing w:afterLines="50"/>
        <w:ind w:leftChars="0" w:firstLine="200" w:firstLineChars="95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支付方式：</w:t>
      </w:r>
    </w:p>
    <w:p>
      <w:pPr>
        <w:spacing w:afterLines="50"/>
        <w:ind w:leftChars="0" w:firstLine="200" w:firstLineChars="95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汇款单位：山东隆众信息技术有限公司</w:t>
      </w:r>
    </w:p>
    <w:p>
      <w:pPr>
        <w:spacing w:afterLines="50"/>
        <w:ind w:leftChars="0" w:firstLine="200" w:firstLineChars="95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汇款账户：1525 6101 0400 38017</w:t>
      </w:r>
    </w:p>
    <w:p>
      <w:pPr>
        <w:spacing w:afterLines="50"/>
        <w:ind w:leftChars="0" w:firstLine="200" w:firstLineChars="95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开户行：中国农业银行淄博高新技术产业开发区支行</w:t>
      </w:r>
    </w:p>
    <w:p>
      <w:pPr>
        <w:spacing w:afterLines="50"/>
        <w:ind w:leftChars="0" w:firstLine="200" w:firstLineChars="95"/>
        <w:rPr>
          <w:rFonts w:hint="default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银行代码：103 453 025 618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81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81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81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81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81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C7C43"/>
    <w:multiLevelType w:val="singleLevel"/>
    <w:tmpl w:val="C73C7C4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AA327F"/>
    <w:multiLevelType w:val="singleLevel"/>
    <w:tmpl w:val="E8AA32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8"/>
    <w:rsid w:val="00005A0D"/>
    <w:rsid w:val="00023297"/>
    <w:rsid w:val="0003433A"/>
    <w:rsid w:val="0003766E"/>
    <w:rsid w:val="00046875"/>
    <w:rsid w:val="000506B2"/>
    <w:rsid w:val="00064F4F"/>
    <w:rsid w:val="000653E9"/>
    <w:rsid w:val="00070B78"/>
    <w:rsid w:val="000731D2"/>
    <w:rsid w:val="000868F6"/>
    <w:rsid w:val="000909E3"/>
    <w:rsid w:val="000B0969"/>
    <w:rsid w:val="000C4AC0"/>
    <w:rsid w:val="000D3F0F"/>
    <w:rsid w:val="000F6779"/>
    <w:rsid w:val="00110DE2"/>
    <w:rsid w:val="001110D5"/>
    <w:rsid w:val="00113E96"/>
    <w:rsid w:val="00116275"/>
    <w:rsid w:val="00120ED7"/>
    <w:rsid w:val="0012228D"/>
    <w:rsid w:val="001227E0"/>
    <w:rsid w:val="0012451D"/>
    <w:rsid w:val="001315E8"/>
    <w:rsid w:val="00131BFA"/>
    <w:rsid w:val="00135004"/>
    <w:rsid w:val="00141734"/>
    <w:rsid w:val="00147538"/>
    <w:rsid w:val="001668DF"/>
    <w:rsid w:val="00167D53"/>
    <w:rsid w:val="00167FEA"/>
    <w:rsid w:val="00170401"/>
    <w:rsid w:val="00180882"/>
    <w:rsid w:val="00181628"/>
    <w:rsid w:val="00181912"/>
    <w:rsid w:val="00183846"/>
    <w:rsid w:val="00191571"/>
    <w:rsid w:val="00193061"/>
    <w:rsid w:val="001932EA"/>
    <w:rsid w:val="001A0C20"/>
    <w:rsid w:val="001B114B"/>
    <w:rsid w:val="001C137D"/>
    <w:rsid w:val="001C6D84"/>
    <w:rsid w:val="001D4130"/>
    <w:rsid w:val="001E3B25"/>
    <w:rsid w:val="001F3868"/>
    <w:rsid w:val="00201EBE"/>
    <w:rsid w:val="00210D45"/>
    <w:rsid w:val="00216A72"/>
    <w:rsid w:val="00217C7F"/>
    <w:rsid w:val="002200EB"/>
    <w:rsid w:val="00224244"/>
    <w:rsid w:val="0023119A"/>
    <w:rsid w:val="00232B23"/>
    <w:rsid w:val="002424C3"/>
    <w:rsid w:val="00270B56"/>
    <w:rsid w:val="00287957"/>
    <w:rsid w:val="00290F4D"/>
    <w:rsid w:val="00292878"/>
    <w:rsid w:val="002A6C80"/>
    <w:rsid w:val="002B0AA9"/>
    <w:rsid w:val="002B5DB2"/>
    <w:rsid w:val="002B6B6A"/>
    <w:rsid w:val="002C4CC8"/>
    <w:rsid w:val="002D3858"/>
    <w:rsid w:val="002D4AEF"/>
    <w:rsid w:val="002E21B3"/>
    <w:rsid w:val="00301F69"/>
    <w:rsid w:val="003035E0"/>
    <w:rsid w:val="00307EF5"/>
    <w:rsid w:val="00326DBE"/>
    <w:rsid w:val="00334826"/>
    <w:rsid w:val="0033691F"/>
    <w:rsid w:val="00336AA1"/>
    <w:rsid w:val="00343F63"/>
    <w:rsid w:val="00361718"/>
    <w:rsid w:val="00371EE8"/>
    <w:rsid w:val="00381C15"/>
    <w:rsid w:val="0038389E"/>
    <w:rsid w:val="00386DBE"/>
    <w:rsid w:val="003878AD"/>
    <w:rsid w:val="00391865"/>
    <w:rsid w:val="003A01E4"/>
    <w:rsid w:val="003A332E"/>
    <w:rsid w:val="003A5752"/>
    <w:rsid w:val="003A6892"/>
    <w:rsid w:val="003A71D7"/>
    <w:rsid w:val="003B1E9E"/>
    <w:rsid w:val="003B4DB9"/>
    <w:rsid w:val="003B56EA"/>
    <w:rsid w:val="003C5879"/>
    <w:rsid w:val="003D4334"/>
    <w:rsid w:val="003E01A0"/>
    <w:rsid w:val="003E0C03"/>
    <w:rsid w:val="003E0CB7"/>
    <w:rsid w:val="003F1ACC"/>
    <w:rsid w:val="003F33B5"/>
    <w:rsid w:val="003F388A"/>
    <w:rsid w:val="003F747D"/>
    <w:rsid w:val="00411477"/>
    <w:rsid w:val="00412F75"/>
    <w:rsid w:val="0042500E"/>
    <w:rsid w:val="00436F12"/>
    <w:rsid w:val="00440CF2"/>
    <w:rsid w:val="00451D61"/>
    <w:rsid w:val="00453FF7"/>
    <w:rsid w:val="00460C5C"/>
    <w:rsid w:val="00462376"/>
    <w:rsid w:val="00467BE4"/>
    <w:rsid w:val="00467F31"/>
    <w:rsid w:val="004715E9"/>
    <w:rsid w:val="004760D2"/>
    <w:rsid w:val="00484F4A"/>
    <w:rsid w:val="004869A3"/>
    <w:rsid w:val="0049173B"/>
    <w:rsid w:val="0049354E"/>
    <w:rsid w:val="00496050"/>
    <w:rsid w:val="004A1FE5"/>
    <w:rsid w:val="004B7D83"/>
    <w:rsid w:val="004D3F13"/>
    <w:rsid w:val="004D4642"/>
    <w:rsid w:val="004D6CF2"/>
    <w:rsid w:val="004E114A"/>
    <w:rsid w:val="004F3342"/>
    <w:rsid w:val="00501307"/>
    <w:rsid w:val="00501E24"/>
    <w:rsid w:val="00505044"/>
    <w:rsid w:val="00516F12"/>
    <w:rsid w:val="00520104"/>
    <w:rsid w:val="00521285"/>
    <w:rsid w:val="00523BC5"/>
    <w:rsid w:val="00527917"/>
    <w:rsid w:val="00531496"/>
    <w:rsid w:val="00542E07"/>
    <w:rsid w:val="00550E27"/>
    <w:rsid w:val="00553677"/>
    <w:rsid w:val="00561E0A"/>
    <w:rsid w:val="00575137"/>
    <w:rsid w:val="005764FF"/>
    <w:rsid w:val="00577BEE"/>
    <w:rsid w:val="005824F5"/>
    <w:rsid w:val="00594DC8"/>
    <w:rsid w:val="005967AF"/>
    <w:rsid w:val="005A174D"/>
    <w:rsid w:val="005A179F"/>
    <w:rsid w:val="005A358A"/>
    <w:rsid w:val="005B182F"/>
    <w:rsid w:val="005C2543"/>
    <w:rsid w:val="005D0851"/>
    <w:rsid w:val="005D2CA2"/>
    <w:rsid w:val="005E1FD5"/>
    <w:rsid w:val="005E7F10"/>
    <w:rsid w:val="005F0CA9"/>
    <w:rsid w:val="005F13C9"/>
    <w:rsid w:val="005F4AE0"/>
    <w:rsid w:val="0060450B"/>
    <w:rsid w:val="00606E67"/>
    <w:rsid w:val="00622927"/>
    <w:rsid w:val="00643880"/>
    <w:rsid w:val="00650290"/>
    <w:rsid w:val="00656682"/>
    <w:rsid w:val="00661BDD"/>
    <w:rsid w:val="00663ECB"/>
    <w:rsid w:val="006674E6"/>
    <w:rsid w:val="00667D9B"/>
    <w:rsid w:val="00675C58"/>
    <w:rsid w:val="00680209"/>
    <w:rsid w:val="00682E87"/>
    <w:rsid w:val="00683331"/>
    <w:rsid w:val="00684A6E"/>
    <w:rsid w:val="00686AD6"/>
    <w:rsid w:val="0069456E"/>
    <w:rsid w:val="006A165A"/>
    <w:rsid w:val="006B7500"/>
    <w:rsid w:val="006C3CB8"/>
    <w:rsid w:val="006C60CC"/>
    <w:rsid w:val="006D1033"/>
    <w:rsid w:val="006D4C66"/>
    <w:rsid w:val="006D5E09"/>
    <w:rsid w:val="006E0758"/>
    <w:rsid w:val="006E51CE"/>
    <w:rsid w:val="006E5923"/>
    <w:rsid w:val="006F1B75"/>
    <w:rsid w:val="006F2868"/>
    <w:rsid w:val="00710CF0"/>
    <w:rsid w:val="00711892"/>
    <w:rsid w:val="00712E07"/>
    <w:rsid w:val="00715857"/>
    <w:rsid w:val="00725DDE"/>
    <w:rsid w:val="00734727"/>
    <w:rsid w:val="00734E1A"/>
    <w:rsid w:val="0074313E"/>
    <w:rsid w:val="00755F4C"/>
    <w:rsid w:val="0075695C"/>
    <w:rsid w:val="0076297C"/>
    <w:rsid w:val="00762EA4"/>
    <w:rsid w:val="007659AA"/>
    <w:rsid w:val="007666D6"/>
    <w:rsid w:val="00773867"/>
    <w:rsid w:val="00773940"/>
    <w:rsid w:val="00792842"/>
    <w:rsid w:val="00792969"/>
    <w:rsid w:val="00793E05"/>
    <w:rsid w:val="0079750A"/>
    <w:rsid w:val="007A1325"/>
    <w:rsid w:val="007A2340"/>
    <w:rsid w:val="007B450C"/>
    <w:rsid w:val="007C152C"/>
    <w:rsid w:val="007D1E0C"/>
    <w:rsid w:val="007E3BBB"/>
    <w:rsid w:val="007E6C62"/>
    <w:rsid w:val="007F1CA7"/>
    <w:rsid w:val="00801349"/>
    <w:rsid w:val="00801F99"/>
    <w:rsid w:val="00803115"/>
    <w:rsid w:val="00804F57"/>
    <w:rsid w:val="00816AE2"/>
    <w:rsid w:val="00820418"/>
    <w:rsid w:val="00836857"/>
    <w:rsid w:val="0084059B"/>
    <w:rsid w:val="00847D80"/>
    <w:rsid w:val="0085021B"/>
    <w:rsid w:val="008518CA"/>
    <w:rsid w:val="00856594"/>
    <w:rsid w:val="00871573"/>
    <w:rsid w:val="0087322E"/>
    <w:rsid w:val="00884D4C"/>
    <w:rsid w:val="00885D23"/>
    <w:rsid w:val="00886FD5"/>
    <w:rsid w:val="00890A2F"/>
    <w:rsid w:val="008949B3"/>
    <w:rsid w:val="00896B30"/>
    <w:rsid w:val="00896C95"/>
    <w:rsid w:val="008A2DDE"/>
    <w:rsid w:val="008B31EF"/>
    <w:rsid w:val="008B52E2"/>
    <w:rsid w:val="008C40B2"/>
    <w:rsid w:val="008C46C7"/>
    <w:rsid w:val="008C4D75"/>
    <w:rsid w:val="008C51EF"/>
    <w:rsid w:val="008E50B5"/>
    <w:rsid w:val="008E6153"/>
    <w:rsid w:val="008F4B5E"/>
    <w:rsid w:val="008F59DB"/>
    <w:rsid w:val="00903351"/>
    <w:rsid w:val="0090502A"/>
    <w:rsid w:val="00905B89"/>
    <w:rsid w:val="00920279"/>
    <w:rsid w:val="00924B86"/>
    <w:rsid w:val="009338F4"/>
    <w:rsid w:val="0094274A"/>
    <w:rsid w:val="00945F69"/>
    <w:rsid w:val="00954E44"/>
    <w:rsid w:val="00955DB9"/>
    <w:rsid w:val="009560D9"/>
    <w:rsid w:val="00973ADC"/>
    <w:rsid w:val="00980D47"/>
    <w:rsid w:val="00984ADC"/>
    <w:rsid w:val="00985172"/>
    <w:rsid w:val="00985B94"/>
    <w:rsid w:val="009937CA"/>
    <w:rsid w:val="009A11E5"/>
    <w:rsid w:val="009A2D95"/>
    <w:rsid w:val="009B5542"/>
    <w:rsid w:val="009B63DA"/>
    <w:rsid w:val="009C1AE6"/>
    <w:rsid w:val="009C2E3D"/>
    <w:rsid w:val="009D7858"/>
    <w:rsid w:val="009F5387"/>
    <w:rsid w:val="00A04425"/>
    <w:rsid w:val="00A15FC1"/>
    <w:rsid w:val="00A160F6"/>
    <w:rsid w:val="00A256AB"/>
    <w:rsid w:val="00A34F6E"/>
    <w:rsid w:val="00A47AE9"/>
    <w:rsid w:val="00A61E04"/>
    <w:rsid w:val="00A7069C"/>
    <w:rsid w:val="00A8330B"/>
    <w:rsid w:val="00A93E7E"/>
    <w:rsid w:val="00A971BC"/>
    <w:rsid w:val="00AA1A99"/>
    <w:rsid w:val="00AA5CE1"/>
    <w:rsid w:val="00AA5DC6"/>
    <w:rsid w:val="00AB3F2A"/>
    <w:rsid w:val="00AB5F4B"/>
    <w:rsid w:val="00AC3327"/>
    <w:rsid w:val="00AC64A6"/>
    <w:rsid w:val="00AC7E43"/>
    <w:rsid w:val="00AE07BB"/>
    <w:rsid w:val="00AE0BD3"/>
    <w:rsid w:val="00AF6BE6"/>
    <w:rsid w:val="00B022B3"/>
    <w:rsid w:val="00B1117E"/>
    <w:rsid w:val="00B120D1"/>
    <w:rsid w:val="00B14878"/>
    <w:rsid w:val="00B148FA"/>
    <w:rsid w:val="00B24D19"/>
    <w:rsid w:val="00B32F7A"/>
    <w:rsid w:val="00B42F74"/>
    <w:rsid w:val="00B639EC"/>
    <w:rsid w:val="00B6425E"/>
    <w:rsid w:val="00B9292E"/>
    <w:rsid w:val="00BA30C2"/>
    <w:rsid w:val="00BA6961"/>
    <w:rsid w:val="00BA789B"/>
    <w:rsid w:val="00BB113D"/>
    <w:rsid w:val="00BB1BC9"/>
    <w:rsid w:val="00BB3232"/>
    <w:rsid w:val="00BB7DE4"/>
    <w:rsid w:val="00BC40CC"/>
    <w:rsid w:val="00BC4364"/>
    <w:rsid w:val="00BC4C2E"/>
    <w:rsid w:val="00BD38AA"/>
    <w:rsid w:val="00BE5D0A"/>
    <w:rsid w:val="00BF1F16"/>
    <w:rsid w:val="00BF290F"/>
    <w:rsid w:val="00BF6803"/>
    <w:rsid w:val="00C03272"/>
    <w:rsid w:val="00C0379A"/>
    <w:rsid w:val="00C0511F"/>
    <w:rsid w:val="00C1009F"/>
    <w:rsid w:val="00C12F01"/>
    <w:rsid w:val="00C16856"/>
    <w:rsid w:val="00C16DB2"/>
    <w:rsid w:val="00C204A2"/>
    <w:rsid w:val="00C244E0"/>
    <w:rsid w:val="00C25AFC"/>
    <w:rsid w:val="00C26BF6"/>
    <w:rsid w:val="00C3293D"/>
    <w:rsid w:val="00C34264"/>
    <w:rsid w:val="00C40C8D"/>
    <w:rsid w:val="00C43F15"/>
    <w:rsid w:val="00C442C4"/>
    <w:rsid w:val="00C71265"/>
    <w:rsid w:val="00C72B40"/>
    <w:rsid w:val="00C82D87"/>
    <w:rsid w:val="00C848D8"/>
    <w:rsid w:val="00C925E1"/>
    <w:rsid w:val="00CA3AD8"/>
    <w:rsid w:val="00CB0404"/>
    <w:rsid w:val="00CB631C"/>
    <w:rsid w:val="00CB7A64"/>
    <w:rsid w:val="00CC0CA6"/>
    <w:rsid w:val="00CD198E"/>
    <w:rsid w:val="00CE42A0"/>
    <w:rsid w:val="00CE65B8"/>
    <w:rsid w:val="00D01693"/>
    <w:rsid w:val="00D01ADA"/>
    <w:rsid w:val="00D20B64"/>
    <w:rsid w:val="00D22361"/>
    <w:rsid w:val="00D340AC"/>
    <w:rsid w:val="00D4178A"/>
    <w:rsid w:val="00D41B53"/>
    <w:rsid w:val="00D4416E"/>
    <w:rsid w:val="00D51745"/>
    <w:rsid w:val="00D517FF"/>
    <w:rsid w:val="00D618E5"/>
    <w:rsid w:val="00D7062B"/>
    <w:rsid w:val="00D7122C"/>
    <w:rsid w:val="00D7164D"/>
    <w:rsid w:val="00D72131"/>
    <w:rsid w:val="00D72C99"/>
    <w:rsid w:val="00D76463"/>
    <w:rsid w:val="00D919F1"/>
    <w:rsid w:val="00DA20CC"/>
    <w:rsid w:val="00DA230C"/>
    <w:rsid w:val="00DA704D"/>
    <w:rsid w:val="00DA7C71"/>
    <w:rsid w:val="00DB16F3"/>
    <w:rsid w:val="00DB2280"/>
    <w:rsid w:val="00DB2A94"/>
    <w:rsid w:val="00DB5526"/>
    <w:rsid w:val="00DC771F"/>
    <w:rsid w:val="00DD14E9"/>
    <w:rsid w:val="00DD707B"/>
    <w:rsid w:val="00DE29B3"/>
    <w:rsid w:val="00DE409F"/>
    <w:rsid w:val="00DE46B3"/>
    <w:rsid w:val="00DE576D"/>
    <w:rsid w:val="00E02317"/>
    <w:rsid w:val="00E0272F"/>
    <w:rsid w:val="00E05178"/>
    <w:rsid w:val="00E06EC6"/>
    <w:rsid w:val="00E1064E"/>
    <w:rsid w:val="00E14A43"/>
    <w:rsid w:val="00E159AE"/>
    <w:rsid w:val="00E162C6"/>
    <w:rsid w:val="00E20A52"/>
    <w:rsid w:val="00E22047"/>
    <w:rsid w:val="00E2276D"/>
    <w:rsid w:val="00E23AA9"/>
    <w:rsid w:val="00E23B60"/>
    <w:rsid w:val="00E36C7C"/>
    <w:rsid w:val="00E4516E"/>
    <w:rsid w:val="00E6295E"/>
    <w:rsid w:val="00E706A5"/>
    <w:rsid w:val="00E712E1"/>
    <w:rsid w:val="00E72311"/>
    <w:rsid w:val="00E7281E"/>
    <w:rsid w:val="00E72D6E"/>
    <w:rsid w:val="00E73572"/>
    <w:rsid w:val="00E8011E"/>
    <w:rsid w:val="00E8120F"/>
    <w:rsid w:val="00E85BE8"/>
    <w:rsid w:val="00E8684B"/>
    <w:rsid w:val="00EA5D75"/>
    <w:rsid w:val="00EB1CDD"/>
    <w:rsid w:val="00EB2470"/>
    <w:rsid w:val="00EB69F2"/>
    <w:rsid w:val="00EB753E"/>
    <w:rsid w:val="00EC1895"/>
    <w:rsid w:val="00EC2EA4"/>
    <w:rsid w:val="00ED0CD8"/>
    <w:rsid w:val="00ED1C65"/>
    <w:rsid w:val="00EE52E9"/>
    <w:rsid w:val="00EF0CE5"/>
    <w:rsid w:val="00EF41B1"/>
    <w:rsid w:val="00EF5309"/>
    <w:rsid w:val="00EF5E96"/>
    <w:rsid w:val="00F11468"/>
    <w:rsid w:val="00F146C5"/>
    <w:rsid w:val="00F21868"/>
    <w:rsid w:val="00F27061"/>
    <w:rsid w:val="00F402EB"/>
    <w:rsid w:val="00F40D19"/>
    <w:rsid w:val="00F41889"/>
    <w:rsid w:val="00F43926"/>
    <w:rsid w:val="00F44DF7"/>
    <w:rsid w:val="00F57741"/>
    <w:rsid w:val="00F61688"/>
    <w:rsid w:val="00F627DF"/>
    <w:rsid w:val="00F644C1"/>
    <w:rsid w:val="00F7107F"/>
    <w:rsid w:val="00F759B0"/>
    <w:rsid w:val="00F80154"/>
    <w:rsid w:val="00F87B9B"/>
    <w:rsid w:val="00F97A90"/>
    <w:rsid w:val="00FA68DE"/>
    <w:rsid w:val="00FB6820"/>
    <w:rsid w:val="00FC2071"/>
    <w:rsid w:val="00FC64B5"/>
    <w:rsid w:val="00FD2CC7"/>
    <w:rsid w:val="00FD4A96"/>
    <w:rsid w:val="00FD6A36"/>
    <w:rsid w:val="00FE42E0"/>
    <w:rsid w:val="00FF2E62"/>
    <w:rsid w:val="00FF7C0F"/>
    <w:rsid w:val="01566F10"/>
    <w:rsid w:val="0192279C"/>
    <w:rsid w:val="080917F9"/>
    <w:rsid w:val="08C9229A"/>
    <w:rsid w:val="0F226481"/>
    <w:rsid w:val="15F86A16"/>
    <w:rsid w:val="26FE2BAF"/>
    <w:rsid w:val="27253803"/>
    <w:rsid w:val="27745240"/>
    <w:rsid w:val="2B3501B5"/>
    <w:rsid w:val="2B4B3FC2"/>
    <w:rsid w:val="2C0E5285"/>
    <w:rsid w:val="30C32793"/>
    <w:rsid w:val="4A872328"/>
    <w:rsid w:val="52675284"/>
    <w:rsid w:val="5571468B"/>
    <w:rsid w:val="55D92673"/>
    <w:rsid w:val="5A130733"/>
    <w:rsid w:val="5AB479BC"/>
    <w:rsid w:val="5D1942E5"/>
    <w:rsid w:val="6EBE508E"/>
    <w:rsid w:val="70F047F6"/>
    <w:rsid w:val="761865DF"/>
    <w:rsid w:val="7DE453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86" w:leftChars="86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rFonts w:hint="default" w:ascii="Times New Roman" w:hAnsi="Times New Roman" w:cs="Times New Roman"/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unnamed11"/>
    <w:basedOn w:val="8"/>
    <w:qFormat/>
    <w:uiPriority w:val="0"/>
    <w:rPr>
      <w:rFonts w:hint="default" w:ascii="Arial" w:hAnsi="Arial" w:cs="Arial"/>
      <w:sz w:val="22"/>
      <w:szCs w:val="22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218</Words>
  <Characters>1247</Characters>
  <Lines>10</Lines>
  <Paragraphs>2</Paragraphs>
  <TotalTime>65</TotalTime>
  <ScaleCrop>false</ScaleCrop>
  <LinksUpToDate>false</LinksUpToDate>
  <CharactersWithSpaces>1463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2019-10-21T02:30:00Z</dcterms:created>
  <dc:creator>user</dc:creator>
  <cp:lastModifiedBy>天欲雪</cp:lastModifiedBy>
  <cp:lastPrinted>2018-04-19T07:46:00Z</cp:lastPrinted>
  <dcterms:modified xsi:type="dcterms:W3CDTF">2019-11-08T01:36:54Z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