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E85" w:rsidRDefault="008223A5" w:rsidP="002A14A4">
      <w:bookmarkStart w:id="0" w:name="_GoBack"/>
      <w:r>
        <w:rPr>
          <w:noProof/>
        </w:rPr>
        <w:drawing>
          <wp:anchor distT="0" distB="0" distL="114300" distR="114300" simplePos="0" relativeHeight="251664896" behindDoc="1" locked="0" layoutInCell="1" allowOverlap="1" wp14:anchorId="71031A82" wp14:editId="1F1CD7DA">
            <wp:simplePos x="0" y="0"/>
            <wp:positionH relativeFrom="column">
              <wp:posOffset>-899795</wp:posOffset>
            </wp:positionH>
            <wp:positionV relativeFrom="paragraph">
              <wp:posOffset>-720091</wp:posOffset>
            </wp:positionV>
            <wp:extent cx="7572375" cy="10677525"/>
            <wp:effectExtent l="0" t="0" r="9525" b="9525"/>
            <wp:wrapNone/>
            <wp:docPr id="5" name="图片 5" descr="D:\用户目录\我的文档\WXWork\1688853219641312\Cache\Image\2019-03\2019年财税知识训练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用户目录\我的文档\WXWork\1688853219641312\Cache\Image\2019-03\2019年财税知识训练营(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7208" cy="10698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C4628">
        <w:br w:type="page"/>
      </w:r>
    </w:p>
    <w:p w:rsidR="00280E85" w:rsidRDefault="005C4628" w:rsidP="002A14A4">
      <w:pPr>
        <w:jc w:val="center"/>
        <w:rPr>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lastRenderedPageBreak/>
        <w:t>会议背景</w:t>
      </w:r>
    </w:p>
    <w:p w:rsidR="00280E85" w:rsidRDefault="005C4628"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noProof/>
          <w:sz w:val="48"/>
        </w:rPr>
        <mc:AlternateContent>
          <mc:Choice Requires="wps">
            <w:drawing>
              <wp:anchor distT="0" distB="0" distL="114300" distR="114300" simplePos="0" relativeHeight="251652608" behindDoc="0" locked="0" layoutInCell="1" allowOverlap="1">
                <wp:simplePos x="0" y="0"/>
                <wp:positionH relativeFrom="column">
                  <wp:posOffset>-33655</wp:posOffset>
                </wp:positionH>
                <wp:positionV relativeFrom="paragraph">
                  <wp:posOffset>71755</wp:posOffset>
                </wp:positionV>
                <wp:extent cx="5761990" cy="8535035"/>
                <wp:effectExtent l="13970" t="13970" r="15240" b="23495"/>
                <wp:wrapNone/>
                <wp:docPr id="2" name="文本框 2"/>
                <wp:cNvGraphicFramePr/>
                <a:graphic xmlns:a="http://schemas.openxmlformats.org/drawingml/2006/main">
                  <a:graphicData uri="http://schemas.microsoft.com/office/word/2010/wordprocessingShape">
                    <wps:wsp>
                      <wps:cNvSpPr txBox="1"/>
                      <wps:spPr>
                        <a:xfrm>
                          <a:off x="1217930" y="1680210"/>
                          <a:ext cx="5761990" cy="8535035"/>
                        </a:xfrm>
                        <a:prstGeom prst="rect">
                          <a:avLst/>
                        </a:prstGeom>
                        <a:solidFill>
                          <a:schemeClr val="lt1"/>
                        </a:solidFill>
                        <a:ln w="28575">
                          <a:solidFill>
                            <a:srgbClr val="002060"/>
                          </a:solidFill>
                          <a:prstDash val="dashDot"/>
                        </a:ln>
                      </wps:spPr>
                      <wps:style>
                        <a:lnRef idx="0">
                          <a:schemeClr val="accent1"/>
                        </a:lnRef>
                        <a:fillRef idx="0">
                          <a:schemeClr val="accent1"/>
                        </a:fillRef>
                        <a:effectRef idx="0">
                          <a:schemeClr val="accent1"/>
                        </a:effectRef>
                        <a:fontRef idx="minor">
                          <a:schemeClr val="dk1"/>
                        </a:fontRef>
                      </wps:style>
                      <wps:txbx>
                        <w:txbxContent>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（一）成品油企业“成”也消费税，“败”也消费税</w:t>
                            </w:r>
                          </w:p>
                          <w:p w:rsidR="00280E85" w:rsidRDefault="005C4628">
                            <w:pPr>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近几年来，消费税政策逐步收紧，成品油产业链企业经历了“冰火”两重天</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从国家税务总局公告2012年第47号到2018第1号，税务机关利剑出鞘，剑指成品油企业“变名销售”的偷逃（筹划）消费税行为。成品油企业产业动荡，哀声一片，面临重新洗牌局面。</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（二）2018年，排污费改环保税</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环保税对成品油产业链企业影响如何？</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环保税征收范围是怎样界定的？成品油产业链企业哪些行为需要交纳环保税？环保税与消费税是否属于重复征收？</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（三）中美贸易争端初见曙光</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国务院关税税则委员会《2019年进出口暂定税率等调整方案》于2018年12月22日出台。关税降了，我们该感谢谁？对成品油产业链企业来说是福还是祸？关税的调整对成品油产业链企业整体消费税、增值税方面的影响如何？</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（四）我国现行18个税种，与自然人关系最密切的首选个人所得税</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《个人所得税法》实施30多年来，为平衡财政收支做出了巨大贡献，但也表现出越来越明显的不适应性。</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2019年1月1日，第七次修订后的《个人所得税法》全面实施，大家突然发现，税务部门变成了最关心你的人！关心你的孩子上学，关心你的后续教育，关心你的赡养老人，关心你的住房贷款，关心你的租房支出，关心你的大病医疗。</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个人所得税的计算缴纳完全甩给单位会计的时代一去不复返了。个税新政，逼迫每一个人都要学习，完全是要把每一个人都逼成专家的节奏，谁不学习，谁就很有可能不能完全享受到政策，就很有可能会多缴个税。</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税制动荡年代，机遇与挑战并存。如何突出重围，一骑绝尘，成为摆在广大成品油企业面前急需解决的问题。</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工欲善其事，必先利其器，要想少缴税，必须首先要明白怎样正确缴税。</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急大家所急，想大家所想，山东隆众信息技术服务有限公司金牌项目——“财税知识训练营”，在2019年再次隆重启动，重装出发！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文本框 2" o:spid="_x0000_s1026" type="#_x0000_t202" style="position:absolute;left:0;text-align:left;margin-left:-2.65pt;margin-top:5.65pt;width:453.7pt;height:672.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" fillcolor="white [3201]" strokecolor="#002060" strokeweight="2.25pt">
                <v:stroke dashstyle="dashDot"/>
                <v:textbox>
                  <w:txbxContent>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（一）成品油企业“成”也消费税，“败”也消费税</w:t>
                      </w:r>
                    </w:p>
                    <w:p w:rsidR="00280E85" w:rsidRDefault="005C4628">
                      <w:pPr>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近几年来，消费税政策逐步收紧，成品油产业链企业经历了“冰火”两重天</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从国家税务总局公告2012年第47号到2018第1号，税务机关利剑出鞘，剑指成品油企业“变名销售”的偷逃（筹划）消费税行为。成品油企业产业动荡，哀声一片，面临重新洗牌局面。</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（二）2018年，排污费改环保税</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环保税对成品油产业链企业影响如何？</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环保税征收范围是怎样界定的？成品油产业链企业哪些行为需要交纳环保税？环保税与消费税是否属于重复征收？</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（三）中美贸易争端初见曙光</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国务院关税税则委员会《2019年进出口暂定税率等调整方案》于2018年12月22日出台。关税降了，我们该感谢谁？对成品油产业链企业来说是福还是祸？关税的调整对成品油产业链企业整体消费税、增值税方面的影响如何？</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（四）我国现行18个税种，与自然人关系最密切的首选个人所得税</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《个人所得税法》实施30多年来，为平衡财政收支做出了巨大贡献，但也表现出越来越明显的不适应性。</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2019年1月1日，第七次修订后的《个人所得税法》全面实施，大家突然发现，税务部门变成了最关心你的人！关心你的孩子上学，关心你的后续教育，关心你的赡养老人，关心你的住房贷款，关心你的租房支出，关心你的大病医疗。</w:t>
                      </w:r>
                    </w:p>
                    <w:p w:rsidR="00280E85" w:rsidRDefault="005C4628">
                      <w:pPr>
                        <w:snapToGrid w:val="0"/>
                        <w:spacing w:line="480" w:lineRule="exact"/>
                        <w:ind w:firstLineChars="200" w:firstLine="480"/>
                        <w:jc w:val="left"/>
                        <w:rPr>
                          <w:rFonts w:ascii="宋体" w:eastAsia="宋体" w:hAnsi="宋体" w:cs="宋体"/>
                          <w:bCs/>
                          <w:color w:val="000000" w:themeColor="text1"/>
                          <w:sz w:val="24"/>
                          <w:szCs w:val="24"/>
                        </w:rPr>
                      </w:pPr>
                      <w:r>
                        <w:rPr>
                          <w:rFonts w:ascii="宋体" w:eastAsia="宋体" w:hAnsi="宋体" w:cs="宋体" w:hint="eastAsia"/>
                          <w:bCs/>
                          <w:color w:val="000000" w:themeColor="text1"/>
                          <w:sz w:val="24"/>
                          <w:szCs w:val="24"/>
                        </w:rPr>
                        <w:t>个人所得税的计算缴纳完全甩给单位会计的时代一去不复返了。个税新政，逼迫每一个人都要学习，完全是要把每一个人都逼成专家的节奏，谁不学习，谁就很有可能不能完全享受到政策，就很有可能会多缴个税。</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税制动荡年代，机遇与挑战并存。如何突出重围，一骑绝尘，成为摆在广大成品油企业面前急需解决的问题。</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工欲善其事，必先利其器，要想少缴税，必须首先要明白怎样正确缴税。</w:t>
                      </w:r>
                    </w:p>
                    <w:p w:rsidR="00280E85" w:rsidRDefault="005C4628">
                      <w:pPr>
                        <w:spacing w:line="480" w:lineRule="exact"/>
                        <w:ind w:firstLineChars="200" w:firstLine="482"/>
                        <w:jc w:val="left"/>
                        <w:rPr>
                          <w:rFonts w:ascii="宋体" w:eastAsia="宋体" w:hAnsi="宋体" w:cs="宋体"/>
                          <w:b/>
                          <w:color w:val="222A35" w:themeColor="text2" w:themeShade="80"/>
                          <w:sz w:val="24"/>
                          <w:szCs w:val="24"/>
                        </w:rPr>
                      </w:pPr>
                      <w:r>
                        <w:rPr>
                          <w:rFonts w:ascii="宋体" w:eastAsia="宋体" w:hAnsi="宋体" w:cs="宋体" w:hint="eastAsia"/>
                          <w:b/>
                          <w:color w:val="222A35" w:themeColor="text2" w:themeShade="80"/>
                          <w:sz w:val="24"/>
                          <w:szCs w:val="24"/>
                        </w:rPr>
                        <w:t>急大家所急，想大家所想，山东隆众信息技术服务有限公司金牌项目——“财税知识训练营”，在2019年再次隆重启动，重装出发！</w:t>
                      </w:r>
                    </w:p>
                  </w:txbxContent>
                </v:textbox>
              </v:shape>
            </w:pict>
          </mc:Fallback>
        </mc:AlternateContent>
      </w: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280E85" w:rsidP="002A14A4">
      <w:pPr>
        <w:jc w:val="center"/>
        <w:rPr>
          <w:rFonts w:ascii="宋体" w:eastAsia="宋体" w:hAnsi="宋体" w:cs="宋体"/>
          <w:b/>
          <w:color w:val="000000" w:themeColor="text1"/>
          <w:sz w:val="24"/>
          <w:szCs w:val="24"/>
        </w:rPr>
      </w:pPr>
    </w:p>
    <w:p w:rsidR="00280E85" w:rsidRDefault="005C4628" w:rsidP="002A14A4">
      <w:pPr>
        <w:rPr>
          <w:rFonts w:ascii="宋体" w:eastAsia="宋体" w:hAnsi="宋体" w:cs="宋体"/>
          <w:b/>
          <w:color w:val="000000" w:themeColor="text1"/>
          <w:sz w:val="24"/>
          <w:szCs w:val="24"/>
        </w:rPr>
      </w:pPr>
      <w:r>
        <w:rPr>
          <w:rFonts w:ascii="宋体" w:eastAsia="宋体" w:hAnsi="宋体" w:cs="宋体" w:hint="eastAsia"/>
          <w:b/>
          <w:color w:val="000000" w:themeColor="text1"/>
          <w:sz w:val="24"/>
          <w:szCs w:val="24"/>
        </w:rPr>
        <w:br w:type="page"/>
      </w:r>
    </w:p>
    <w:p w:rsidR="00280E85" w:rsidRDefault="005C4628" w:rsidP="002A14A4">
      <w:pPr>
        <w:jc w:val="center"/>
        <w:rPr>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noProof/>
          <w:color w:val="1F3864" w:themeColor="accent5" w:themeShade="80"/>
          <w:sz w:val="48"/>
        </w:rPr>
        <w:lastRenderedPageBreak/>
        <mc:AlternateContent>
          <mc:Choice Requires="wps">
            <w:drawing>
              <wp:anchor distT="0" distB="0" distL="114300" distR="114300" simplePos="0" relativeHeight="251654656" behindDoc="0" locked="0" layoutInCell="1" allowOverlap="1">
                <wp:simplePos x="0" y="0"/>
                <wp:positionH relativeFrom="column">
                  <wp:posOffset>708660</wp:posOffset>
                </wp:positionH>
                <wp:positionV relativeFrom="paragraph">
                  <wp:posOffset>786765</wp:posOffset>
                </wp:positionV>
                <wp:extent cx="4916805" cy="5193665"/>
                <wp:effectExtent l="13970" t="13970" r="22225" b="31115"/>
                <wp:wrapNone/>
                <wp:docPr id="4" name="文本框 4"/>
                <wp:cNvGraphicFramePr/>
                <a:graphic xmlns:a="http://schemas.openxmlformats.org/drawingml/2006/main">
                  <a:graphicData uri="http://schemas.microsoft.com/office/word/2010/wordprocessingShape">
                    <wps:wsp>
                      <wps:cNvSpPr txBox="1"/>
                      <wps:spPr>
                        <a:xfrm>
                          <a:off x="2332355" y="1492885"/>
                          <a:ext cx="4916805" cy="5193665"/>
                        </a:xfrm>
                        <a:prstGeom prst="rect">
                          <a:avLst/>
                        </a:prstGeom>
                        <a:solidFill>
                          <a:schemeClr val="lt1"/>
                        </a:solidFill>
                        <a:ln w="28575">
                          <a:solidFill>
                            <a:schemeClr val="accent1">
                              <a:lumMod val="75000"/>
                            </a:schemeClr>
                          </a:solidFill>
                        </a:ln>
                      </wps:spPr>
                      <wps:style>
                        <a:lnRef idx="0">
                          <a:schemeClr val="accent1"/>
                        </a:lnRef>
                        <a:fillRef idx="0">
                          <a:schemeClr val="accent1"/>
                        </a:fillRef>
                        <a:effectRef idx="0">
                          <a:schemeClr val="accent1"/>
                        </a:effectRef>
                        <a:fontRef idx="minor">
                          <a:schemeClr val="dk1"/>
                        </a:fontRef>
                      </wps:style>
                      <wps:txbx>
                        <w:txbxContent>
                          <w:p w:rsidR="00280E85" w:rsidRDefault="005C4628">
                            <w:pPr>
                              <w:spacing w:line="440" w:lineRule="exact"/>
                              <w:ind w:firstLineChars="200" w:firstLine="560"/>
                              <w:rPr>
                                <w:rFonts w:asciiTheme="majorEastAsia" w:eastAsiaTheme="majorEastAsia" w:hAnsiTheme="majorEastAsia" w:cstheme="majorEastAsia"/>
                                <w:bCs/>
                                <w:color w:val="1F4E79" w:themeColor="accent1" w:themeShade="80"/>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
                                <w:color w:val="1F4E79" w:themeColor="accent1" w:themeShade="80"/>
                                <w:sz w:val="28"/>
                                <w:szCs w:val="28"/>
                              </w:rPr>
                              <w:t>网名无极小刀。律师、注册会计师、（注册）税务师、（注册）评估师资格。</w:t>
                            </w:r>
                          </w:p>
                          <w:p w:rsidR="00280E85" w:rsidRDefault="005C4628">
                            <w:pPr>
                              <w:spacing w:line="440" w:lineRule="exact"/>
                              <w:ind w:firstLineChars="200" w:firstLine="560"/>
                              <w:rPr>
                                <w:rFonts w:asciiTheme="majorEastAsia" w:eastAsiaTheme="majorEastAsia" w:hAnsiTheme="majorEastAsia" w:cstheme="majorEastAsia"/>
                                <w:bCs/>
                                <w:color w:val="1F4E79" w:themeColor="accent1" w:themeShade="80"/>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
                                <w:color w:val="1F4E79" w:themeColor="accent1" w:themeShade="80"/>
                                <w:sz w:val="28"/>
                                <w:szCs w:val="28"/>
                              </w:rPr>
                              <w:t>小陈税务咨询（北京）有限公司及中涛远（北京）税务师事务所有限责任公司合伙人。</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1987年参加工作，与“税”共舞30年。曾入选国税总局稽查局稽查人才库，多次参加总局稽查局组织的跨区域的大型检查，对税收政策与实务、会计政策与实务等有较深入的研究，在《中国税务报》《财务与会计》《注册税务师》等报刊杂志发表财税实务文章数十篇。</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多年来活跃在中国会计视野论坛等知名财税网站，解读税收政策，追踪税收热点，刨析税收疑难，解答税收问题，以</w:t>
                            </w:r>
                            <w:r>
                              <w:rPr>
                                <w:rFonts w:asciiTheme="majorEastAsia" w:eastAsiaTheme="majorEastAsia" w:hAnsiTheme="majorEastAsia" w:cstheme="majorEastAsia" w:hint="eastAsia"/>
                                <w:b/>
                                <w:color w:val="1F4E79" w:themeColor="accent1" w:themeShade="80"/>
                                <w:sz w:val="28"/>
                                <w:szCs w:val="28"/>
                              </w:rPr>
                              <w:t>“视角独特，观点新颖；语言犀利，讲求法理；不媚权威，勇于担当”</w:t>
                            </w:r>
                            <w:r>
                              <w:rPr>
                                <w:rFonts w:asciiTheme="majorEastAsia" w:eastAsiaTheme="majorEastAsia" w:hAnsiTheme="majorEastAsia" w:cstheme="majorEastAsia" w:hint="eastAsia"/>
                                <w:bCs/>
                                <w:sz w:val="28"/>
                                <w:szCs w:val="28"/>
                              </w:rPr>
                              <w:t>而深受广大网友欢迎。</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中国会计视野论坛“税收业务探讨”版块版主；财税自媒体“税草堂（TaxOfficial)”发起人之一；《中国税务报》“税草堂”栏目专栏作者。</w:t>
                            </w:r>
                          </w:p>
                          <w:p w:rsidR="00280E85" w:rsidRDefault="005C4628">
                            <w:pPr>
                              <w:spacing w:line="440" w:lineRule="exact"/>
                              <w:ind w:firstLineChars="200" w:firstLine="560"/>
                              <w:rPr>
                                <w:bCs/>
                                <w:color w:val="9CC2E5" w:themeColor="accent1" w:themeTint="99"/>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个人微信公众号“无极小刀”、个人自媒体公众号“无极小刀税医堂”。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 id="文本框 4" o:spid="_x0000_s1027" type="#_x0000_t202" style="position:absolute;left:0;text-align:left;margin-left:55.8pt;margin-top:61.95pt;width:387.15pt;height:408.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" fillcolor="white [3201]" strokecolor="#2e74b5 [2404]" strokeweight="2.25pt">
                <v:textbox>
                  <w:txbxContent>
                    <w:p w:rsidR="00280E85" w:rsidRDefault="005C4628">
                      <w:pPr>
                        <w:spacing w:line="440" w:lineRule="exact"/>
                        <w:ind w:firstLineChars="200" w:firstLine="560"/>
                        <w:rPr>
                          <w:rFonts w:asciiTheme="majorEastAsia" w:eastAsiaTheme="majorEastAsia" w:hAnsiTheme="majorEastAsia" w:cstheme="majorEastAsia"/>
                          <w:bCs/>
                          <w:color w:val="1F4E79" w:themeColor="accent1" w:themeShade="80"/>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
                          <w:color w:val="1F4E79" w:themeColor="accent1" w:themeShade="80"/>
                          <w:sz w:val="28"/>
                          <w:szCs w:val="28"/>
                        </w:rPr>
                        <w:t>网名无极小刀。律师、注册会计师、（注册）税务师、（注册）评估师资格。</w:t>
                      </w:r>
                    </w:p>
                    <w:p w:rsidR="00280E85" w:rsidRDefault="005C4628">
                      <w:pPr>
                        <w:spacing w:line="440" w:lineRule="exact"/>
                        <w:ind w:firstLineChars="200" w:firstLine="560"/>
                        <w:rPr>
                          <w:rFonts w:asciiTheme="majorEastAsia" w:eastAsiaTheme="majorEastAsia" w:hAnsiTheme="majorEastAsia" w:cstheme="majorEastAsia"/>
                          <w:bCs/>
                          <w:color w:val="1F4E79" w:themeColor="accent1" w:themeShade="80"/>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
                          <w:color w:val="1F4E79" w:themeColor="accent1" w:themeShade="80"/>
                          <w:sz w:val="28"/>
                          <w:szCs w:val="28"/>
                        </w:rPr>
                        <w:t>小陈税务咨询（北京）有限公司及中涛远（北京）税务师事务所有限责任公司合伙人。</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1987年参加工作，与“税”共舞30年。曾入选国税总局稽查局稽查人才库，多次参加总局稽查局组织的跨区域的大型检查，对税收政策与实务、会计政策与实务等有较深入的研究，在《中国税务报》《财务与会计》《注册税务师》等报刊杂志发表财税实务文章数十篇。</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多年来活跃在中国会计视野论坛等知名财税网站，解读税收政策，追踪税收热点，刨析税收疑难，解答税收问题，以</w:t>
                      </w:r>
                      <w:r>
                        <w:rPr>
                          <w:rFonts w:asciiTheme="majorEastAsia" w:eastAsiaTheme="majorEastAsia" w:hAnsiTheme="majorEastAsia" w:cstheme="majorEastAsia" w:hint="eastAsia"/>
                          <w:b/>
                          <w:color w:val="1F4E79" w:themeColor="accent1" w:themeShade="80"/>
                          <w:sz w:val="28"/>
                          <w:szCs w:val="28"/>
                        </w:rPr>
                        <w:t>“视角独特，观点新颖；语言犀利，讲求法理；不媚权威，勇于担当”</w:t>
                      </w:r>
                      <w:r>
                        <w:rPr>
                          <w:rFonts w:asciiTheme="majorEastAsia" w:eastAsiaTheme="majorEastAsia" w:hAnsiTheme="majorEastAsia" w:cstheme="majorEastAsia" w:hint="eastAsia"/>
                          <w:bCs/>
                          <w:sz w:val="28"/>
                          <w:szCs w:val="28"/>
                        </w:rPr>
                        <w:t>而深受广大网友欢迎。</w:t>
                      </w:r>
                    </w:p>
                    <w:p w:rsidR="00280E85" w:rsidRDefault="005C4628">
                      <w:pPr>
                        <w:spacing w:line="440" w:lineRule="exact"/>
                        <w:ind w:firstLineChars="200" w:firstLine="560"/>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中国会计视野论坛“税收业务探讨”版块版主；财税自媒体“税草堂（TaxOfficial)”发起人之一；《中国税务报》“税草堂”栏目专栏作者。</w:t>
                      </w:r>
                    </w:p>
                    <w:p w:rsidR="00280E85" w:rsidRDefault="005C4628">
                      <w:pPr>
                        <w:spacing w:line="440" w:lineRule="exact"/>
                        <w:ind w:firstLineChars="200" w:firstLine="560"/>
                        <w:rPr>
                          <w:bCs/>
                          <w:color w:val="9CC2E5" w:themeColor="accent1" w:themeTint="99"/>
                          <w:sz w:val="28"/>
                          <w:szCs w:val="28"/>
                        </w:rPr>
                      </w:pPr>
                      <w:r>
                        <w:rPr>
                          <w:rFonts w:asciiTheme="majorEastAsia" w:eastAsiaTheme="majorEastAsia" w:hAnsiTheme="majorEastAsia" w:cstheme="majorEastAsia" w:hint="eastAsia"/>
                          <w:bCs/>
                          <w:color w:val="1F4E79" w:themeColor="accent1" w:themeShade="80"/>
                          <w:sz w:val="28"/>
                          <w:szCs w:val="28"/>
                        </w:rPr>
                        <w:t>☛</w:t>
                      </w:r>
                      <w:r>
                        <w:rPr>
                          <w:rFonts w:asciiTheme="majorEastAsia" w:eastAsiaTheme="majorEastAsia" w:hAnsiTheme="majorEastAsia" w:cstheme="majorEastAsia" w:hint="eastAsia"/>
                          <w:bCs/>
                          <w:sz w:val="28"/>
                          <w:szCs w:val="28"/>
                        </w:rPr>
                        <w:t>个人微信公众号“无极小刀”、个人自媒体公众号“无极小刀税医堂”。</w:t>
                      </w:r>
                    </w:p>
                  </w:txbxContent>
                </v:textbox>
              </v:shape>
            </w:pict>
          </mc:Fallback>
        </mc:AlternateContent>
      </w: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t>讲师介绍</w:t>
      </w: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5C4628"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noProof/>
          <w:sz w:val="24"/>
        </w:rPr>
        <mc:AlternateContent>
          <mc:Choice Requires="wps">
            <w:drawing>
              <wp:anchor distT="0" distB="0" distL="114300" distR="114300" simplePos="0" relativeHeight="251656704" behindDoc="0" locked="0" layoutInCell="1" allowOverlap="1">
                <wp:simplePos x="0" y="0"/>
                <wp:positionH relativeFrom="column">
                  <wp:posOffset>-386715</wp:posOffset>
                </wp:positionH>
                <wp:positionV relativeFrom="paragraph">
                  <wp:posOffset>340360</wp:posOffset>
                </wp:positionV>
                <wp:extent cx="962025" cy="3407410"/>
                <wp:effectExtent l="6350" t="6350" r="22225" b="15240"/>
                <wp:wrapNone/>
                <wp:docPr id="6" name="流程图: 可选过程 6"/>
                <wp:cNvGraphicFramePr/>
                <a:graphic xmlns:a="http://schemas.openxmlformats.org/drawingml/2006/main">
                  <a:graphicData uri="http://schemas.microsoft.com/office/word/2010/wordprocessingShape">
                    <wps:wsp>
                      <wps:cNvSpPr/>
                      <wps:spPr>
                        <a:xfrm>
                          <a:off x="760730" y="2851785"/>
                          <a:ext cx="962025" cy="3407410"/>
                        </a:xfrm>
                        <a:prstGeom prst="flowChartAlternateProcess">
                          <a:avLst/>
                        </a:prstGeom>
                        <a:gradFill flip="none">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曹</w:t>
                            </w:r>
                          </w:p>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远</w:t>
                            </w:r>
                          </w:p>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6" o:spid="_x0000_s1028" type="#_x0000_t176" style="position:absolute;left:0;text-align:left;margin-left:-30.45pt;margin-top:26.8pt;width:75.75pt;height:268.3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" fillcolor="#f7fafd [180]" strokecolor="#1f4d78 [1604]" strokeweight="1pt">
                <v:fill color2="#cde0f2 [980]" colors="0 #f7fafd;48497f #b5d2ec;54395f #b5d2ec;1 #cee1f2" focus="100%" type="gradient">
                  <o:fill v:ext="view" type="gradientUnscaled"/>
                </v:fill>
                <v:textbox>
                  <w:txbxContent>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曹</w:t>
                      </w:r>
                    </w:p>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远</w:t>
                      </w:r>
                    </w:p>
                    <w:p w:rsidR="00280E85" w:rsidRDefault="005C4628">
                      <w:pPr>
                        <w:jc w:val="center"/>
                        <w:rPr>
                          <w:rFonts w:ascii="黑体" w:eastAsia="黑体" w:hAnsi="黑体" w:cs="黑体"/>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pPr>
                      <w:r>
                        <w:rPr>
                          <w:rFonts w:ascii="黑体" w:eastAsia="黑体" w:hAnsi="黑体" w:cs="黑体" w:hint="eastAsia"/>
                          <w:color w:val="5B9BD5" w:themeColor="accent1"/>
                          <w:sz w:val="52"/>
                          <w:szCs w:val="5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14:props3d w14:extrusionH="0" w14:contourW="0" w14:prstMaterial="clear"/>
                        </w:rPr>
                        <w:t>战</w:t>
                      </w:r>
                    </w:p>
                  </w:txbxContent>
                </v:textbox>
              </v:shape>
            </w:pict>
          </mc:Fallback>
        </mc:AlternateContent>
      </w: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5C4628" w:rsidP="002A14A4">
      <w:pPr>
        <w:jc w:val="center"/>
        <w:rPr>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t>培训范围</w:t>
      </w:r>
    </w:p>
    <w:p w:rsidR="00280E85" w:rsidRDefault="005C4628"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noProof/>
          <w:sz w:val="48"/>
        </w:rPr>
        <mc:AlternateContent>
          <mc:Choice Requires="wps">
            <w:drawing>
              <wp:anchor distT="0" distB="0" distL="114300" distR="114300" simplePos="0" relativeHeight="251658752" behindDoc="0" locked="0" layoutInCell="1" allowOverlap="1">
                <wp:simplePos x="0" y="0"/>
                <wp:positionH relativeFrom="column">
                  <wp:posOffset>108585</wp:posOffset>
                </wp:positionH>
                <wp:positionV relativeFrom="paragraph">
                  <wp:posOffset>53340</wp:posOffset>
                </wp:positionV>
                <wp:extent cx="5467350" cy="1943100"/>
                <wp:effectExtent l="6350" t="6350" r="12700" b="12700"/>
                <wp:wrapNone/>
                <wp:docPr id="9" name="圆角矩形 9"/>
                <wp:cNvGraphicFramePr/>
                <a:graphic xmlns:a="http://schemas.openxmlformats.org/drawingml/2006/main">
                  <a:graphicData uri="http://schemas.microsoft.com/office/word/2010/wordprocessingShape">
                    <wps:wsp>
                      <wps:cNvSpPr/>
                      <wps:spPr>
                        <a:xfrm>
                          <a:off x="970280" y="7633335"/>
                          <a:ext cx="5467350" cy="1943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80E85" w:rsidRDefault="005C4628">
                            <w:pPr>
                              <w:ind w:firstLineChars="200" w:firstLine="562"/>
                              <w:rPr>
                                <w:rFonts w:ascii="微软雅黑" w:eastAsia="微软雅黑" w:hAnsi="微软雅黑"/>
                                <w:color w:val="000000" w:themeColor="text1"/>
                                <w:sz w:val="32"/>
                              </w:rPr>
                            </w:pPr>
                            <w:r>
                              <w:rPr>
                                <w:rFonts w:asciiTheme="majorEastAsia" w:eastAsiaTheme="majorEastAsia" w:hAnsiTheme="majorEastAsia" w:cstheme="majorEastAsia" w:hint="eastAsia"/>
                                <w:b/>
                                <w:color w:val="000000" w:themeColor="text1"/>
                                <w:sz w:val="28"/>
                                <w:szCs w:val="28"/>
                              </w:rPr>
                              <w:t>成品油产业链企业</w:t>
                            </w:r>
                            <w:r>
                              <w:rPr>
                                <w:rFonts w:asciiTheme="majorEastAsia" w:eastAsiaTheme="majorEastAsia" w:hAnsiTheme="majorEastAsia" w:cstheme="majorEastAsia" w:hint="eastAsia"/>
                                <w:bCs/>
                                <w:color w:val="000000" w:themeColor="text1"/>
                                <w:sz w:val="28"/>
                                <w:szCs w:val="28"/>
                              </w:rPr>
                              <w:t>，包括成品油原料（添加剂）生产供应企业，成品油生产（调和加工）企业，成品油经销（储存、批发零售）企业，成品油终端用户等企业的负责人、业务经理、销售经理、财务（税务）经理、财务（税务）主管、财务（税务）会计等。</w:t>
                            </w:r>
                          </w:p>
                          <w:p w:rsidR="00280E85" w:rsidRDefault="00280E85">
                            <w:pPr>
                              <w:jc w:val="center"/>
                              <w:rPr>
                                <w:color w:val="000000" w:themeColor="text1"/>
                              </w:rPr>
                            </w:pPr>
                          </w:p>
                          <w:p w:rsidR="00280E85" w:rsidRDefault="00280E8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roundrect id="圆角矩形 9" o:spid="_x0000_s1029" style="position:absolute;left:0;text-align:left;margin-left:8.55pt;margin-top:4.2pt;width:430.5pt;height:153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" filled="f" strokecolor="#1f4d78 [1604]" strokeweight="1pt">
                <v:stroke joinstyle="miter"/>
                <v:textbox>
                  <w:txbxContent>
                    <w:p w:rsidR="00280E85" w:rsidRDefault="005C4628">
                      <w:pPr>
                        <w:ind w:firstLineChars="200" w:firstLine="562"/>
                        <w:rPr>
                          <w:rFonts w:ascii="微软雅黑" w:eastAsia="微软雅黑" w:hAnsi="微软雅黑"/>
                          <w:color w:val="000000" w:themeColor="text1"/>
                          <w:sz w:val="32"/>
                        </w:rPr>
                      </w:pPr>
                      <w:r>
                        <w:rPr>
                          <w:rFonts w:asciiTheme="majorEastAsia" w:eastAsiaTheme="majorEastAsia" w:hAnsiTheme="majorEastAsia" w:cstheme="majorEastAsia" w:hint="eastAsia"/>
                          <w:b/>
                          <w:color w:val="000000" w:themeColor="text1"/>
                          <w:sz w:val="28"/>
                          <w:szCs w:val="28"/>
                        </w:rPr>
                        <w:t>成品油产业链企业</w:t>
                      </w:r>
                      <w:r>
                        <w:rPr>
                          <w:rFonts w:asciiTheme="majorEastAsia" w:eastAsiaTheme="majorEastAsia" w:hAnsiTheme="majorEastAsia" w:cstheme="majorEastAsia" w:hint="eastAsia"/>
                          <w:bCs/>
                          <w:color w:val="000000" w:themeColor="text1"/>
                          <w:sz w:val="28"/>
                          <w:szCs w:val="28"/>
                        </w:rPr>
                        <w:t>，包括成品油原料（添加剂）生产供应企业，成品油生产（调和加工）企业，成品油经销（储存、批发零售）企业，成品油终端用户等企业的负责人、业务经理、销售经理、财务（税务）经理、财务（税务）主管、财务（税务）会计等。</w:t>
                      </w:r>
                    </w:p>
                    <w:p w:rsidR="00280E85" w:rsidRDefault="00280E85">
                      <w:pPr>
                        <w:jc w:val="center"/>
                        <w:rPr>
                          <w:color w:val="000000" w:themeColor="text1"/>
                        </w:rPr>
                      </w:pPr>
                    </w:p>
                    <w:p w:rsidR="00280E85" w:rsidRDefault="00280E85">
                      <w:pPr>
                        <w:jc w:val="center"/>
                        <w:rPr>
                          <w:color w:val="000000" w:themeColor="text1"/>
                        </w:rPr>
                      </w:pPr>
                    </w:p>
                  </w:txbxContent>
                </v:textbox>
              </v:roundrect>
            </w:pict>
          </mc:Fallback>
        </mc:AlternateContent>
      </w: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280E85" w:rsidP="002A14A4">
      <w:pPr>
        <w:rPr>
          <w:rFonts w:ascii="宋体" w:eastAsia="宋体" w:hAnsi="宋体" w:cs="宋体"/>
          <w:b/>
          <w:color w:val="000000" w:themeColor="text1"/>
          <w:sz w:val="24"/>
          <w:szCs w:val="24"/>
        </w:rPr>
      </w:pPr>
    </w:p>
    <w:p w:rsidR="00280E85" w:rsidRDefault="005C4628" w:rsidP="002A14A4">
      <w:pPr>
        <w:jc w:val="center"/>
        <w:rPr>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noProof/>
          <w:sz w:val="48"/>
        </w:rPr>
        <w:lastRenderedPageBreak/>
        <mc:AlternateContent>
          <mc:Choice Requires="wps">
            <w:drawing>
              <wp:anchor distT="0" distB="0" distL="114300" distR="114300" simplePos="0" relativeHeight="251660800" behindDoc="0" locked="0" layoutInCell="1" allowOverlap="1">
                <wp:simplePos x="0" y="0"/>
                <wp:positionH relativeFrom="column">
                  <wp:posOffset>231775</wp:posOffset>
                </wp:positionH>
                <wp:positionV relativeFrom="paragraph">
                  <wp:posOffset>746125</wp:posOffset>
                </wp:positionV>
                <wp:extent cx="5259070" cy="1362710"/>
                <wp:effectExtent l="6350" t="5080" r="11430" b="22860"/>
                <wp:wrapNone/>
                <wp:docPr id="11" name="双波形 11"/>
                <wp:cNvGraphicFramePr/>
                <a:graphic xmlns:a="http://schemas.openxmlformats.org/drawingml/2006/main">
                  <a:graphicData uri="http://schemas.microsoft.com/office/word/2010/wordprocessingShape">
                    <wps:wsp>
                      <wps:cNvSpPr/>
                      <wps:spPr>
                        <a:xfrm>
                          <a:off x="732155" y="1527810"/>
                          <a:ext cx="5259070" cy="1362710"/>
                        </a:xfrm>
                        <a:prstGeom prst="doubleWave">
                          <a:avLst>
                            <a:gd name="adj1" fmla="val 2482"/>
                            <a:gd name="adj2" fmla="val 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80E85" w:rsidRDefault="005C4628">
                            <w:pPr>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✲精准把握新政动向，提高财务管控能力</w:t>
                            </w:r>
                          </w:p>
                          <w:p w:rsidR="00280E85" w:rsidRDefault="005C4628">
                            <w:pPr>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✲深度解析新政核心，快速适应新政</w:t>
                            </w:r>
                          </w:p>
                          <w:p w:rsidR="00280E85" w:rsidRDefault="005C4628">
                            <w:pPr>
                              <w:jc w:val="center"/>
                            </w:pPr>
                            <w:r>
                              <w:rPr>
                                <w:rFonts w:ascii="宋体" w:eastAsia="宋体" w:hAnsi="宋体" w:cs="宋体" w:hint="eastAsia"/>
                                <w:bCs/>
                                <w:color w:val="000000" w:themeColor="text1"/>
                                <w:sz w:val="28"/>
                                <w:szCs w:val="28"/>
                              </w:rPr>
                              <w:t>✲突出行业特点，解读行业税收现状及风险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5="http://schemas.microsoft.com/office/word/2012/wordml" xmlns:cx="http://schemas.microsoft.com/office/drawing/2014/chartex">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双波形 11" o:spid="_x0000_s1030" type="#_x0000_t188" style="position:absolute;left:0;text-align:left;margin-left:18.25pt;margin-top:58.75pt;width:414.1pt;height:107.3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" adj="536" filled="f" strokecolor="#1f4d78 [1604]" strokeweight="1pt">
                <v:textbox>
                  <w:txbxContent>
                    <w:p w:rsidR="00280E85" w:rsidRDefault="005C4628">
                      <w:pPr>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✲精准把握新政动向，提高财务管控能力</w:t>
                      </w:r>
                    </w:p>
                    <w:p w:rsidR="00280E85" w:rsidRDefault="005C4628">
                      <w:pPr>
                        <w:jc w:val="center"/>
                        <w:rPr>
                          <w:rFonts w:ascii="宋体" w:eastAsia="宋体" w:hAnsi="宋体" w:cs="宋体"/>
                          <w:bCs/>
                          <w:color w:val="000000" w:themeColor="text1"/>
                          <w:sz w:val="28"/>
                          <w:szCs w:val="28"/>
                        </w:rPr>
                      </w:pPr>
                      <w:r>
                        <w:rPr>
                          <w:rFonts w:ascii="宋体" w:eastAsia="宋体" w:hAnsi="宋体" w:cs="宋体" w:hint="eastAsia"/>
                          <w:bCs/>
                          <w:color w:val="000000" w:themeColor="text1"/>
                          <w:sz w:val="28"/>
                          <w:szCs w:val="28"/>
                        </w:rPr>
                        <w:t>✲深度解析新政核心，快速适应新政</w:t>
                      </w:r>
                    </w:p>
                    <w:p w:rsidR="00280E85" w:rsidRDefault="005C4628">
                      <w:pPr>
                        <w:jc w:val="center"/>
                      </w:pPr>
                      <w:r>
                        <w:rPr>
                          <w:rFonts w:ascii="宋体" w:eastAsia="宋体" w:hAnsi="宋体" w:cs="宋体" w:hint="eastAsia"/>
                          <w:bCs/>
                          <w:color w:val="000000" w:themeColor="text1"/>
                          <w:sz w:val="28"/>
                          <w:szCs w:val="28"/>
                        </w:rPr>
                        <w:t>✲突出行业特点，解读行业税收现状及风险</w:t>
                      </w:r>
                    </w:p>
                  </w:txbxContent>
                </v:textbox>
              </v:shape>
            </w:pict>
          </mc:Fallback>
        </mc:AlternateContent>
      </w: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t>会议亮点</w:t>
      </w: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280E85" w:rsidP="002A14A4">
      <w:pPr>
        <w:jc w:val="center"/>
        <w:rPr>
          <w:color w:val="1F3864" w:themeColor="accent5" w:themeShade="80"/>
          <w:sz w:val="28"/>
          <w:szCs w:val="2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Default="005C4628" w:rsidP="002A14A4">
      <w:pPr>
        <w:jc w:val="center"/>
        <w:rPr>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t>课程安排</w:t>
      </w:r>
    </w:p>
    <w:p w:rsidR="002A14A4" w:rsidRPr="002A14A4" w:rsidRDefault="002A14A4" w:rsidP="002A14A4">
      <w:pPr>
        <w:jc w:val="center"/>
        <w:rPr>
          <w:rFonts w:ascii="楷体" w:eastAsia="楷体" w:hAnsi="楷体"/>
          <w:b/>
          <w:color w:val="1F3864" w:themeColor="accent5" w:themeShade="80"/>
          <w:sz w:val="24"/>
          <w:szCs w:val="24"/>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sidRPr="002A14A4">
        <w:rPr>
          <w:rFonts w:ascii="楷体" w:eastAsia="楷体" w:hAnsi="楷体" w:hint="eastAsia"/>
          <w:b/>
          <w:color w:val="1F3864" w:themeColor="accent5" w:themeShade="80"/>
          <w:sz w:val="24"/>
          <w:szCs w:val="24"/>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t>前言：</w:t>
      </w:r>
    </w:p>
    <w:p w:rsidR="002A14A4" w:rsidRPr="002A14A4" w:rsidRDefault="002A14A4" w:rsidP="002A14A4">
      <w:pPr>
        <w:jc w:val="left"/>
        <w:rPr>
          <w:rFonts w:ascii="楷体" w:eastAsia="楷体" w:hAnsi="楷体" w:cs="宋体"/>
          <w:bCs/>
          <w:color w:val="000000" w:themeColor="text1"/>
          <w:sz w:val="28"/>
          <w:szCs w:val="28"/>
        </w:rPr>
      </w:pPr>
      <w:r w:rsidRPr="002A14A4">
        <w:rPr>
          <w:rFonts w:ascii="楷体" w:eastAsia="楷体" w:hAnsi="楷体" w:cs="宋体" w:hint="eastAsia"/>
          <w:bCs/>
          <w:color w:val="000000" w:themeColor="text1"/>
          <w:sz w:val="28"/>
          <w:szCs w:val="28"/>
        </w:rPr>
        <w:t>一、2019年国务院普惠性减税与结构性减税并举新政解读</w:t>
      </w:r>
    </w:p>
    <w:p w:rsidR="002A14A4" w:rsidRPr="002A14A4" w:rsidRDefault="002A14A4" w:rsidP="002A14A4">
      <w:pPr>
        <w:jc w:val="left"/>
        <w:rPr>
          <w:rFonts w:ascii="楷体" w:eastAsia="楷体" w:hAnsi="楷体" w:cs="宋体"/>
          <w:bCs/>
          <w:color w:val="000000" w:themeColor="text1"/>
          <w:sz w:val="28"/>
          <w:szCs w:val="28"/>
        </w:rPr>
      </w:pPr>
      <w:r w:rsidRPr="002A14A4">
        <w:rPr>
          <w:rFonts w:ascii="楷体" w:eastAsia="楷体" w:hAnsi="楷体" w:cs="宋体" w:hint="eastAsia"/>
          <w:bCs/>
          <w:color w:val="000000" w:themeColor="text1"/>
          <w:sz w:val="28"/>
          <w:szCs w:val="28"/>
        </w:rPr>
        <w:t>（一）普惠性减税政策：财政部、税务总局《关于实施小微企业普惠性税收减免政策的通知》（财税〔2019〕13号）；国家税务总局《关于小规模纳税人免征增值税政策有关征管问题的公告》（国家税务总局公告2019年第4号）。</w:t>
      </w:r>
    </w:p>
    <w:p w:rsidR="002A14A4" w:rsidRPr="002A14A4" w:rsidRDefault="002A14A4" w:rsidP="002A14A4">
      <w:pPr>
        <w:jc w:val="left"/>
        <w:rPr>
          <w:rFonts w:ascii="楷体" w:eastAsia="楷体" w:hAnsi="楷体" w:cs="宋体"/>
          <w:bCs/>
          <w:color w:val="000000" w:themeColor="text1"/>
          <w:sz w:val="28"/>
          <w:szCs w:val="28"/>
        </w:rPr>
      </w:pPr>
      <w:r w:rsidRPr="002A14A4">
        <w:rPr>
          <w:rFonts w:ascii="楷体" w:eastAsia="楷体" w:hAnsi="楷体" w:cs="宋体" w:hint="eastAsia"/>
          <w:bCs/>
          <w:color w:val="000000" w:themeColor="text1"/>
          <w:sz w:val="28"/>
          <w:szCs w:val="28"/>
        </w:rPr>
        <w:t>（二）结构性减税政策：</w:t>
      </w:r>
    </w:p>
    <w:p w:rsidR="002A14A4" w:rsidRPr="002A14A4" w:rsidRDefault="002A14A4" w:rsidP="002A14A4">
      <w:pPr>
        <w:jc w:val="left"/>
        <w:rPr>
          <w:rFonts w:ascii="楷体" w:eastAsia="楷体" w:hAnsi="楷体" w:cs="宋体"/>
          <w:bCs/>
          <w:color w:val="000000" w:themeColor="text1"/>
          <w:sz w:val="28"/>
          <w:szCs w:val="28"/>
        </w:rPr>
      </w:pPr>
      <w:r w:rsidRPr="002A14A4">
        <w:rPr>
          <w:rFonts w:ascii="楷体" w:eastAsia="楷体" w:hAnsi="楷体" w:cs="宋体" w:hint="eastAsia"/>
          <w:bCs/>
          <w:color w:val="000000" w:themeColor="text1"/>
          <w:sz w:val="28"/>
          <w:szCs w:val="28"/>
        </w:rPr>
        <w:t>二、民盟中央“两会”提案“大幅降低柴油消费税，减半后每升0.6元”，能否美梦成真？</w:t>
      </w:r>
    </w:p>
    <w:tbl>
      <w:tblPr>
        <w:tblW w:w="9920" w:type="dxa"/>
        <w:jc w:val="center"/>
        <w:tblLayout w:type="fixed"/>
        <w:tblLook w:val="04A0" w:firstRow="1" w:lastRow="0" w:firstColumn="1" w:lastColumn="0" w:noHBand="0" w:noVBand="1"/>
      </w:tblPr>
      <w:tblGrid>
        <w:gridCol w:w="1135"/>
        <w:gridCol w:w="1700"/>
        <w:gridCol w:w="7085"/>
      </w:tblGrid>
      <w:tr w:rsidR="00280E85">
        <w:trPr>
          <w:trHeight w:val="678"/>
          <w:tblHeader/>
          <w:jc w:val="center"/>
        </w:trPr>
        <w:tc>
          <w:tcPr>
            <w:tcW w:w="1135" w:type="dxa"/>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b/>
                <w:bCs/>
                <w:color w:val="000000"/>
                <w:kern w:val="0"/>
                <w:sz w:val="18"/>
                <w:szCs w:val="18"/>
              </w:rPr>
            </w:pPr>
            <w:r>
              <w:rPr>
                <w:rFonts w:asciiTheme="minorEastAsia" w:hAnsiTheme="minorEastAsia" w:cstheme="minorEastAsia" w:hint="eastAsia"/>
                <w:b/>
                <w:bCs/>
                <w:color w:val="000000"/>
                <w:kern w:val="0"/>
                <w:sz w:val="18"/>
                <w:szCs w:val="18"/>
              </w:rPr>
              <w:t>日期</w:t>
            </w:r>
          </w:p>
        </w:tc>
        <w:tc>
          <w:tcPr>
            <w:tcW w:w="1700" w:type="dxa"/>
            <w:tcBorders>
              <w:top w:val="single" w:sz="4" w:space="0" w:color="auto"/>
              <w:left w:val="nil"/>
              <w:bottom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b/>
                <w:bCs/>
                <w:color w:val="000000"/>
                <w:kern w:val="0"/>
                <w:sz w:val="18"/>
                <w:szCs w:val="18"/>
              </w:rPr>
            </w:pPr>
            <w:r>
              <w:rPr>
                <w:rFonts w:asciiTheme="minorEastAsia" w:hAnsiTheme="minorEastAsia" w:cstheme="minorEastAsia" w:hint="eastAsia"/>
                <w:b/>
                <w:bCs/>
                <w:color w:val="000000"/>
                <w:kern w:val="0"/>
                <w:sz w:val="18"/>
                <w:szCs w:val="18"/>
              </w:rPr>
              <w:t>时间</w:t>
            </w:r>
          </w:p>
        </w:tc>
        <w:tc>
          <w:tcPr>
            <w:tcW w:w="7085" w:type="dxa"/>
            <w:tcBorders>
              <w:top w:val="single" w:sz="4" w:space="0" w:color="auto"/>
              <w:left w:val="nil"/>
              <w:bottom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b/>
                <w:bCs/>
                <w:color w:val="000000"/>
                <w:kern w:val="0"/>
                <w:sz w:val="18"/>
                <w:szCs w:val="18"/>
              </w:rPr>
            </w:pPr>
            <w:r>
              <w:rPr>
                <w:rFonts w:asciiTheme="minorEastAsia" w:hAnsiTheme="minorEastAsia" w:cstheme="minorEastAsia" w:hint="eastAsia"/>
                <w:b/>
                <w:bCs/>
                <w:color w:val="000000"/>
                <w:kern w:val="0"/>
                <w:sz w:val="18"/>
                <w:szCs w:val="18"/>
              </w:rPr>
              <w:t>内容</w:t>
            </w:r>
          </w:p>
        </w:tc>
      </w:tr>
      <w:tr w:rsidR="00280E85">
        <w:trPr>
          <w:trHeight w:val="498"/>
          <w:jc w:val="center"/>
        </w:trPr>
        <w:tc>
          <w:tcPr>
            <w:tcW w:w="1135" w:type="dxa"/>
            <w:vMerge w:val="restart"/>
            <w:tcBorders>
              <w:top w:val="nil"/>
              <w:left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4月17日</w:t>
            </w: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9:00-18:00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b/>
                <w:bCs/>
                <w:color w:val="000000"/>
                <w:kern w:val="0"/>
                <w:sz w:val="18"/>
                <w:szCs w:val="18"/>
              </w:rPr>
            </w:pPr>
            <w:r>
              <w:rPr>
                <w:rFonts w:asciiTheme="minorEastAsia" w:hAnsiTheme="minorEastAsia" w:cstheme="minorEastAsia" w:hint="eastAsia"/>
                <w:b/>
                <w:bCs/>
                <w:color w:val="000000"/>
                <w:kern w:val="0"/>
                <w:sz w:val="18"/>
                <w:szCs w:val="18"/>
              </w:rPr>
              <w:t>会议签到</w:t>
            </w:r>
          </w:p>
        </w:tc>
      </w:tr>
      <w:tr w:rsidR="00280E85">
        <w:trPr>
          <w:trHeight w:val="523"/>
          <w:jc w:val="center"/>
        </w:trPr>
        <w:tc>
          <w:tcPr>
            <w:tcW w:w="1135" w:type="dxa"/>
            <w:vMerge/>
            <w:tcBorders>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18:00-20:00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b/>
                <w:bCs/>
                <w:color w:val="000000"/>
                <w:kern w:val="0"/>
                <w:sz w:val="18"/>
                <w:szCs w:val="18"/>
              </w:rPr>
            </w:pPr>
            <w:r>
              <w:rPr>
                <w:rFonts w:asciiTheme="minorEastAsia" w:hAnsiTheme="minorEastAsia" w:cstheme="minorEastAsia" w:hint="eastAsia"/>
                <w:b/>
                <w:bCs/>
                <w:color w:val="000000"/>
                <w:kern w:val="0"/>
                <w:sz w:val="18"/>
                <w:szCs w:val="18"/>
              </w:rPr>
              <w:t>欢迎晚宴</w:t>
            </w:r>
          </w:p>
        </w:tc>
      </w:tr>
      <w:tr w:rsidR="00280E85">
        <w:trPr>
          <w:trHeight w:val="388"/>
          <w:jc w:val="center"/>
        </w:trPr>
        <w:tc>
          <w:tcPr>
            <w:tcW w:w="1135" w:type="dxa"/>
            <w:vMerge w:val="restart"/>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5C4628" w:rsidP="002A14A4">
            <w:pPr>
              <w:widowControl/>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4月18日</w:t>
            </w: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280E85" w:rsidP="002A14A4">
            <w:pPr>
              <w:widowControl/>
              <w:jc w:val="center"/>
              <w:rPr>
                <w:rFonts w:asciiTheme="minorEastAsia" w:hAnsiTheme="minorEastAsia" w:cstheme="minorEastAsia"/>
                <w:color w:val="000000"/>
                <w:kern w:val="0"/>
                <w:sz w:val="18"/>
                <w:szCs w:val="18"/>
              </w:rPr>
            </w:pPr>
          </w:p>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4月18日</w:t>
            </w: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lastRenderedPageBreak/>
              <w:t>8:30-8:40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b/>
                <w:bCs/>
                <w:color w:val="000000"/>
                <w:kern w:val="0"/>
                <w:sz w:val="18"/>
                <w:szCs w:val="18"/>
              </w:rPr>
              <w:t>致开幕词</w:t>
            </w:r>
          </w:p>
        </w:tc>
      </w:tr>
      <w:tr w:rsidR="00280E85">
        <w:trPr>
          <w:trHeight w:val="90"/>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single" w:sz="4" w:space="0" w:color="auto"/>
              <w:bottom w:val="single" w:sz="4" w:space="0" w:color="000000"/>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8:40-10：10</w:t>
            </w:r>
          </w:p>
        </w:tc>
        <w:tc>
          <w:tcPr>
            <w:tcW w:w="7085" w:type="dxa"/>
            <w:tcBorders>
              <w:top w:val="single" w:sz="4" w:space="0" w:color="auto"/>
              <w:left w:val="nil"/>
              <w:right w:val="single" w:sz="4" w:space="0" w:color="auto"/>
            </w:tcBorders>
            <w:shd w:val="clear" w:color="auto" w:fill="auto"/>
            <w:vAlign w:val="center"/>
          </w:tcPr>
          <w:p w:rsidR="00280E85" w:rsidRDefault="005C4628" w:rsidP="002A14A4">
            <w:pPr>
              <w:rPr>
                <w:rFonts w:asciiTheme="minorEastAsia" w:hAnsiTheme="minorEastAsia" w:cstheme="minorEastAsia"/>
                <w:b/>
                <w:bCs/>
                <w:color w:val="BF8F00" w:themeColor="accent4" w:themeShade="BF"/>
                <w:sz w:val="18"/>
                <w:szCs w:val="18"/>
              </w:rPr>
            </w:pPr>
            <w:r>
              <w:rPr>
                <w:rFonts w:asciiTheme="minorEastAsia" w:hAnsiTheme="minorEastAsia" w:cstheme="minorEastAsia" w:hint="eastAsia"/>
                <w:b/>
                <w:bCs/>
                <w:color w:val="BF8F00" w:themeColor="accent4" w:themeShade="BF"/>
                <w:sz w:val="18"/>
                <w:szCs w:val="18"/>
              </w:rPr>
              <w:t>第一部分：成品油产业链企业消费税问题盘点与突破</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（一）我司为什么缴纳消费税？隔壁为什么不缴纳？</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（二）消费税的征税范围是如何界定的？</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（三）消费税的征税环节是怎样规定的？</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（四）消费税的从高适用规则；</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（五）成品油消费税的税目理解；</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lastRenderedPageBreak/>
              <w:t>（六）成品油消费税的税率特征；</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（七）成品油产品的特殊性；</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（八）非最终消费品而被征收了消费税，怎么办？</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（九）“税医堂”现场诊案；</w:t>
            </w:r>
          </w:p>
          <w:p w:rsidR="00280E85" w:rsidRDefault="005C4628" w:rsidP="002A14A4">
            <w:pPr>
              <w:rPr>
                <w:rFonts w:asciiTheme="minorEastAsia" w:hAnsiTheme="minorEastAsia" w:cstheme="minorEastAsia"/>
                <w:color w:val="C00000"/>
                <w:kern w:val="0"/>
                <w:sz w:val="18"/>
                <w:szCs w:val="18"/>
              </w:rPr>
            </w:pPr>
            <w:r>
              <w:rPr>
                <w:rFonts w:asciiTheme="minorEastAsia" w:hAnsiTheme="minorEastAsia" w:cstheme="minorEastAsia" w:hint="eastAsia"/>
                <w:sz w:val="18"/>
                <w:szCs w:val="18"/>
              </w:rPr>
              <w:t>（十）成品油消费税的偷逃税（筹划）路径；</w:t>
            </w:r>
          </w:p>
        </w:tc>
      </w:tr>
      <w:tr w:rsidR="00280E85">
        <w:trPr>
          <w:trHeight w:val="413"/>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single" w:sz="4" w:space="0" w:color="auto"/>
              <w:bottom w:val="single" w:sz="4" w:space="0" w:color="000000"/>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10:10-10:30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C00000"/>
                <w:kern w:val="0"/>
                <w:sz w:val="18"/>
                <w:szCs w:val="18"/>
              </w:rPr>
            </w:pPr>
            <w:r>
              <w:rPr>
                <w:rFonts w:asciiTheme="minorEastAsia" w:hAnsiTheme="minorEastAsia" w:cstheme="minorEastAsia" w:hint="eastAsia"/>
                <w:b/>
                <w:bCs/>
                <w:color w:val="BF8F00" w:themeColor="accent4" w:themeShade="BF"/>
                <w:kern w:val="0"/>
                <w:sz w:val="18"/>
                <w:szCs w:val="18"/>
              </w:rPr>
              <w:t>休息交流</w:t>
            </w:r>
          </w:p>
        </w:tc>
      </w:tr>
      <w:tr w:rsidR="00280E85">
        <w:trPr>
          <w:trHeight w:val="3801"/>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single" w:sz="4" w:space="0" w:color="auto"/>
              <w:bottom w:val="single" w:sz="4" w:space="0" w:color="000000"/>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10:30-12:00</w:t>
            </w:r>
          </w:p>
        </w:tc>
        <w:tc>
          <w:tcPr>
            <w:tcW w:w="7085" w:type="dxa"/>
            <w:tcBorders>
              <w:top w:val="single" w:sz="4" w:space="0" w:color="auto"/>
              <w:left w:val="single" w:sz="4" w:space="0" w:color="auto"/>
              <w:bottom w:val="single" w:sz="4" w:space="0" w:color="auto"/>
              <w:right w:val="single" w:sz="4" w:space="0" w:color="auto"/>
            </w:tcBorders>
            <w:shd w:val="clear" w:color="auto" w:fill="auto"/>
            <w:vAlign w:val="center"/>
          </w:tcPr>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（十一）“变名销售”的罪名辨析；</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（十二）堵漏措施：总局公告2012年第47号与2013年第50号；</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（十三）长得像“油”的三类产品的三类消费税政策；</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（十四）对47号公告中两项“视同”的理解；</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（十五）堵漏措施的漏洞：石油炼化企业与非石油炼化企业；</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（十六）47号公告与50号公告的功过是非；</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（十七）成品油包装物企业征收消费税吗？</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（十八）成品油调油添加剂企业消费税之虑；</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（十九）继续堵漏：将“蚂蚱”栓在一条线上——总局公告2018年第1号的消费税新政目的及潜在问题；</w:t>
            </w:r>
          </w:p>
          <w:p w:rsidR="00280E85" w:rsidRDefault="005C4628" w:rsidP="002A14A4">
            <w:pPr>
              <w:rPr>
                <w:rFonts w:asciiTheme="minorEastAsia" w:hAnsiTheme="minorEastAsia" w:cstheme="minorEastAsia"/>
                <w:color w:val="000000"/>
                <w:kern w:val="0"/>
                <w:sz w:val="18"/>
                <w:szCs w:val="18"/>
              </w:rPr>
            </w:pPr>
            <w:r>
              <w:rPr>
                <w:rFonts w:asciiTheme="minorEastAsia" w:hAnsiTheme="minorEastAsia" w:cstheme="minorEastAsia" w:hint="eastAsia"/>
                <w:sz w:val="18"/>
                <w:szCs w:val="18"/>
              </w:rPr>
              <w:t>（二十）成品油发票开具模块与库存数据库；</w:t>
            </w:r>
          </w:p>
        </w:tc>
      </w:tr>
      <w:tr w:rsidR="00280E85">
        <w:trPr>
          <w:trHeight w:val="535"/>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12:00-14:00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C00000"/>
                <w:kern w:val="0"/>
                <w:sz w:val="18"/>
                <w:szCs w:val="18"/>
              </w:rPr>
            </w:pPr>
            <w:r>
              <w:rPr>
                <w:rFonts w:asciiTheme="minorEastAsia" w:hAnsiTheme="minorEastAsia" w:cstheme="minorEastAsia" w:hint="eastAsia"/>
                <w:b/>
                <w:bCs/>
                <w:color w:val="BF8F00" w:themeColor="accent4" w:themeShade="BF"/>
                <w:kern w:val="0"/>
                <w:sz w:val="18"/>
                <w:szCs w:val="18"/>
              </w:rPr>
              <w:t>午餐/午休</w:t>
            </w:r>
          </w:p>
        </w:tc>
      </w:tr>
      <w:tr w:rsidR="00280E85">
        <w:trPr>
          <w:trHeight w:val="3456"/>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single" w:sz="4" w:space="0" w:color="auto"/>
              <w:bottom w:val="single" w:sz="4" w:space="0" w:color="000000"/>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sz w:val="18"/>
                <w:szCs w:val="18"/>
              </w:rPr>
            </w:pPr>
            <w:r>
              <w:rPr>
                <w:rFonts w:asciiTheme="minorEastAsia" w:hAnsiTheme="minorEastAsia" w:cstheme="minorEastAsia" w:hint="eastAsia"/>
                <w:color w:val="000000"/>
                <w:kern w:val="0"/>
                <w:sz w:val="18"/>
                <w:szCs w:val="18"/>
              </w:rPr>
              <w:t>14:00-15:30</w:t>
            </w:r>
          </w:p>
        </w:tc>
        <w:tc>
          <w:tcPr>
            <w:tcW w:w="7085" w:type="dxa"/>
            <w:tcBorders>
              <w:top w:val="single" w:sz="4" w:space="0" w:color="auto"/>
              <w:left w:val="nil"/>
              <w:right w:val="single" w:sz="4" w:space="0" w:color="auto"/>
            </w:tcBorders>
            <w:shd w:val="clear" w:color="auto" w:fill="auto"/>
            <w:vAlign w:val="center"/>
          </w:tcPr>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（二十一）税务端库存与会计端库存数据不一致时该如何调整？</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（二十二）商品和服务税收分类编码与数量比对关系；</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（二十三）成品油企业销售非成品油商品如何开票？</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（二十四）非成品油企业销售成品油如何开票？</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（二十五）“*非成品油*润滑油”案例；</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（二十六）典型问题：加油卡充值款；</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（二十七）消费税新申报表之填写精要；</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（二十八）成品油生产企业的贸易行为如何申报消费税？</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（二十九）成品油生产与经销身份互换情况下的税务问题；</w:t>
            </w:r>
          </w:p>
          <w:p w:rsidR="00280E85" w:rsidRDefault="005C4628" w:rsidP="002A14A4">
            <w:pPr>
              <w:rPr>
                <w:rFonts w:asciiTheme="minorEastAsia" w:hAnsiTheme="minorEastAsia" w:cstheme="minorEastAsia"/>
                <w:color w:val="C00000"/>
                <w:kern w:val="0"/>
                <w:sz w:val="18"/>
                <w:szCs w:val="18"/>
              </w:rPr>
            </w:pPr>
            <w:r>
              <w:rPr>
                <w:rFonts w:asciiTheme="minorEastAsia" w:hAnsiTheme="minorEastAsia" w:cstheme="minorEastAsia" w:hint="eastAsia"/>
                <w:sz w:val="18"/>
                <w:szCs w:val="18"/>
              </w:rPr>
              <w:t>（三十）成品油经销企业委托生产企业加工成品油被代扣代缴的消费税如何处理？</w:t>
            </w:r>
          </w:p>
        </w:tc>
      </w:tr>
      <w:tr w:rsidR="00280E85">
        <w:trPr>
          <w:trHeight w:val="710"/>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single" w:sz="4" w:space="0" w:color="auto"/>
              <w:bottom w:val="single" w:sz="4" w:space="0" w:color="000000"/>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15:30-15:40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C00000"/>
                <w:kern w:val="0"/>
                <w:sz w:val="18"/>
                <w:szCs w:val="18"/>
              </w:rPr>
            </w:pPr>
            <w:r>
              <w:rPr>
                <w:rFonts w:asciiTheme="minorEastAsia" w:hAnsiTheme="minorEastAsia" w:cstheme="minorEastAsia" w:hint="eastAsia"/>
                <w:b/>
                <w:bCs/>
                <w:color w:val="BF8F00" w:themeColor="accent4" w:themeShade="BF"/>
                <w:kern w:val="0"/>
                <w:sz w:val="18"/>
                <w:szCs w:val="18"/>
              </w:rPr>
              <w:t>休息交流</w:t>
            </w:r>
          </w:p>
        </w:tc>
      </w:tr>
      <w:tr w:rsidR="00280E85">
        <w:trPr>
          <w:trHeight w:val="2078"/>
          <w:jc w:val="center"/>
        </w:trPr>
        <w:tc>
          <w:tcPr>
            <w:tcW w:w="1135" w:type="dxa"/>
            <w:vMerge/>
            <w:tcBorders>
              <w:top w:val="nil"/>
              <w:left w:val="single" w:sz="4" w:space="0" w:color="auto"/>
              <w:bottom w:val="single" w:sz="4" w:space="0" w:color="000000"/>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15:40-17:10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rPr>
                <w:rFonts w:asciiTheme="minorEastAsia" w:hAnsiTheme="minorEastAsia" w:cstheme="minorEastAsia"/>
                <w:b/>
                <w:bCs/>
                <w:color w:val="BF8F00" w:themeColor="accent4" w:themeShade="BF"/>
                <w:sz w:val="18"/>
                <w:szCs w:val="18"/>
              </w:rPr>
            </w:pPr>
            <w:r>
              <w:rPr>
                <w:rFonts w:asciiTheme="minorEastAsia" w:hAnsiTheme="minorEastAsia" w:cstheme="minorEastAsia" w:hint="eastAsia"/>
                <w:b/>
                <w:bCs/>
                <w:color w:val="BF8F00" w:themeColor="accent4" w:themeShade="BF"/>
                <w:sz w:val="18"/>
                <w:szCs w:val="18"/>
              </w:rPr>
              <w:t>第二部分 排污费改环保税对成品油产业链企业的影响</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（一）原“排污费”的征收体制；</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（二）《环保税法》的诞生；</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（三）环保税的征税范围；</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（四）成品油产业链企业哪些行为（事项）可能被征环保税；</w:t>
            </w:r>
          </w:p>
          <w:p w:rsidR="00280E85" w:rsidRDefault="005C4628" w:rsidP="002A14A4">
            <w:pPr>
              <w:rPr>
                <w:rFonts w:asciiTheme="minorEastAsia" w:hAnsiTheme="minorEastAsia" w:cstheme="minorEastAsia"/>
                <w:color w:val="000000"/>
                <w:kern w:val="0"/>
                <w:sz w:val="18"/>
                <w:szCs w:val="18"/>
              </w:rPr>
            </w:pPr>
            <w:r>
              <w:rPr>
                <w:rFonts w:asciiTheme="minorEastAsia" w:hAnsiTheme="minorEastAsia" w:cstheme="minorEastAsia" w:hint="eastAsia"/>
                <w:sz w:val="18"/>
                <w:szCs w:val="18"/>
              </w:rPr>
              <w:t>（五）消费税与环保税重复征收之虑；</w:t>
            </w:r>
          </w:p>
        </w:tc>
      </w:tr>
      <w:tr w:rsidR="00280E85">
        <w:trPr>
          <w:trHeight w:val="373"/>
          <w:jc w:val="center"/>
        </w:trPr>
        <w:tc>
          <w:tcPr>
            <w:tcW w:w="1135" w:type="dxa"/>
            <w:vMerge w:val="restart"/>
            <w:tcBorders>
              <w:top w:val="nil"/>
              <w:left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4月18日</w:t>
            </w: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17:10-18:00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b/>
                <w:bCs/>
                <w:color w:val="BF8F00" w:themeColor="accent4" w:themeShade="BF"/>
                <w:kern w:val="0"/>
                <w:sz w:val="18"/>
                <w:szCs w:val="18"/>
              </w:rPr>
            </w:pPr>
            <w:r>
              <w:rPr>
                <w:rFonts w:asciiTheme="minorEastAsia" w:hAnsiTheme="minorEastAsia" w:cstheme="minorEastAsia" w:hint="eastAsia"/>
                <w:b/>
                <w:bCs/>
                <w:color w:val="BF8F00" w:themeColor="accent4" w:themeShade="BF"/>
                <w:kern w:val="0"/>
                <w:sz w:val="18"/>
                <w:szCs w:val="18"/>
              </w:rPr>
              <w:t>互动交流</w:t>
            </w:r>
          </w:p>
        </w:tc>
      </w:tr>
      <w:tr w:rsidR="00280E85">
        <w:trPr>
          <w:trHeight w:val="373"/>
          <w:jc w:val="center"/>
        </w:trPr>
        <w:tc>
          <w:tcPr>
            <w:tcW w:w="1135" w:type="dxa"/>
            <w:vMerge/>
            <w:tcBorders>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18:00-20:00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b/>
                <w:bCs/>
                <w:color w:val="BF8F00" w:themeColor="accent4" w:themeShade="BF"/>
                <w:kern w:val="0"/>
                <w:sz w:val="18"/>
                <w:szCs w:val="18"/>
              </w:rPr>
            </w:pPr>
            <w:r>
              <w:rPr>
                <w:rFonts w:asciiTheme="minorEastAsia" w:hAnsiTheme="minorEastAsia" w:cstheme="minorEastAsia" w:hint="eastAsia"/>
                <w:b/>
                <w:bCs/>
                <w:color w:val="BF8F00" w:themeColor="accent4" w:themeShade="BF"/>
                <w:kern w:val="0"/>
                <w:sz w:val="18"/>
                <w:szCs w:val="18"/>
              </w:rPr>
              <w:t>隆众晚宴</w:t>
            </w:r>
          </w:p>
        </w:tc>
      </w:tr>
      <w:tr w:rsidR="00280E85">
        <w:trPr>
          <w:trHeight w:val="2767"/>
          <w:jc w:val="center"/>
        </w:trPr>
        <w:tc>
          <w:tcPr>
            <w:tcW w:w="1135" w:type="dxa"/>
            <w:vMerge w:val="restart"/>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lastRenderedPageBreak/>
              <w:t>4月19日</w:t>
            </w:r>
          </w:p>
        </w:tc>
        <w:tc>
          <w:tcPr>
            <w:tcW w:w="1700" w:type="dxa"/>
            <w:tcBorders>
              <w:top w:val="nil"/>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8:30-10:00</w:t>
            </w:r>
          </w:p>
        </w:tc>
        <w:tc>
          <w:tcPr>
            <w:tcW w:w="7085" w:type="dxa"/>
            <w:tcBorders>
              <w:top w:val="nil"/>
              <w:left w:val="nil"/>
              <w:bottom w:val="single" w:sz="4" w:space="0" w:color="auto"/>
              <w:right w:val="single" w:sz="4" w:space="0" w:color="auto"/>
            </w:tcBorders>
            <w:shd w:val="clear" w:color="auto" w:fill="auto"/>
            <w:vAlign w:val="center"/>
          </w:tcPr>
          <w:p w:rsidR="00280E85" w:rsidRDefault="005C4628" w:rsidP="002A14A4">
            <w:pPr>
              <w:rPr>
                <w:rFonts w:asciiTheme="minorEastAsia" w:hAnsiTheme="minorEastAsia" w:cstheme="minorEastAsia"/>
                <w:b/>
                <w:bCs/>
                <w:color w:val="BF8F00" w:themeColor="accent4" w:themeShade="BF"/>
                <w:sz w:val="18"/>
                <w:szCs w:val="18"/>
              </w:rPr>
            </w:pPr>
            <w:r>
              <w:rPr>
                <w:rFonts w:asciiTheme="minorEastAsia" w:hAnsiTheme="minorEastAsia" w:cstheme="minorEastAsia" w:hint="eastAsia"/>
                <w:b/>
                <w:bCs/>
                <w:color w:val="BF8F00" w:themeColor="accent4" w:themeShade="BF"/>
                <w:sz w:val="18"/>
                <w:szCs w:val="18"/>
              </w:rPr>
              <w:t>第三部分  2019年进口环节关税调整对成品油产业链企业“两税”（增值税、消费税）的影响评述</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（一）关税的特殊性；</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（二）关税的税率；</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（三）关税对进出口企业的影响；</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（四）海关代征进口环节的消费税、增值税政策与国内消费税、增值税政策的关系；</w:t>
            </w:r>
          </w:p>
          <w:p w:rsidR="00280E85" w:rsidRDefault="005C4628" w:rsidP="002A14A4">
            <w:pPr>
              <w:rPr>
                <w:rFonts w:asciiTheme="minorEastAsia" w:hAnsiTheme="minorEastAsia" w:cstheme="minorEastAsia"/>
                <w:color w:val="000000"/>
                <w:kern w:val="0"/>
                <w:sz w:val="18"/>
                <w:szCs w:val="18"/>
              </w:rPr>
            </w:pPr>
            <w:r>
              <w:rPr>
                <w:rFonts w:asciiTheme="minorEastAsia" w:hAnsiTheme="minorEastAsia" w:cstheme="minorEastAsia" w:hint="eastAsia"/>
                <w:sz w:val="18"/>
                <w:szCs w:val="18"/>
              </w:rPr>
              <w:t>（五）《2019年进出口暂定税率等调整方案》对成品油产业链企业消费税、增值税方面整体的影响分析；</w:t>
            </w:r>
          </w:p>
        </w:tc>
      </w:tr>
      <w:tr w:rsidR="00280E85">
        <w:trPr>
          <w:trHeight w:val="373"/>
          <w:jc w:val="center"/>
        </w:trPr>
        <w:tc>
          <w:tcPr>
            <w:tcW w:w="1135" w:type="dxa"/>
            <w:vMerge/>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10:00-10:20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C00000"/>
                <w:kern w:val="0"/>
                <w:sz w:val="18"/>
                <w:szCs w:val="18"/>
              </w:rPr>
            </w:pPr>
            <w:r>
              <w:rPr>
                <w:rFonts w:asciiTheme="minorEastAsia" w:hAnsiTheme="minorEastAsia" w:cstheme="minorEastAsia" w:hint="eastAsia"/>
                <w:b/>
                <w:bCs/>
                <w:color w:val="BF8F00" w:themeColor="accent4" w:themeShade="BF"/>
                <w:kern w:val="0"/>
                <w:sz w:val="18"/>
                <w:szCs w:val="18"/>
              </w:rPr>
              <w:t>休息交流</w:t>
            </w:r>
          </w:p>
        </w:tc>
      </w:tr>
      <w:tr w:rsidR="00280E85">
        <w:trPr>
          <w:trHeight w:val="2767"/>
          <w:jc w:val="center"/>
        </w:trPr>
        <w:tc>
          <w:tcPr>
            <w:tcW w:w="1135" w:type="dxa"/>
            <w:vMerge/>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10:20-12:00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rPr>
                <w:rFonts w:asciiTheme="minorEastAsia" w:hAnsiTheme="minorEastAsia" w:cstheme="minorEastAsia"/>
                <w:b/>
                <w:bCs/>
                <w:color w:val="BF8F00" w:themeColor="accent4" w:themeShade="BF"/>
                <w:sz w:val="18"/>
                <w:szCs w:val="18"/>
              </w:rPr>
            </w:pPr>
            <w:r>
              <w:rPr>
                <w:rFonts w:asciiTheme="minorEastAsia" w:hAnsiTheme="minorEastAsia" w:cstheme="minorEastAsia" w:hint="eastAsia"/>
                <w:b/>
                <w:bCs/>
                <w:color w:val="BF8F00" w:themeColor="accent4" w:themeShade="BF"/>
                <w:sz w:val="18"/>
                <w:szCs w:val="18"/>
              </w:rPr>
              <w:t>第四部分：个人所得税改革的机遇与挑战</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（一）社保与个税</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1、非税收入有哪些？国家层面与地方层面的移交（委托）时间表；</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2、社保由税务代收改为征收的意义多大？</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3、社保征收基数与个税征收基数有哪些差异？</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4、社保缴纳不足部分咋办？税务会追征几年？</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5、国务院及国税总局的态度如何？</w:t>
            </w:r>
          </w:p>
          <w:p w:rsidR="00280E85" w:rsidRDefault="005C4628" w:rsidP="002A14A4">
            <w:pPr>
              <w:ind w:firstLineChars="200" w:firstLine="360"/>
              <w:rPr>
                <w:rFonts w:asciiTheme="minorEastAsia" w:hAnsiTheme="minorEastAsia" w:cstheme="minorEastAsia"/>
                <w:color w:val="C00000"/>
                <w:kern w:val="0"/>
                <w:sz w:val="18"/>
                <w:szCs w:val="18"/>
              </w:rPr>
            </w:pPr>
            <w:r>
              <w:rPr>
                <w:rFonts w:asciiTheme="minorEastAsia" w:hAnsiTheme="minorEastAsia" w:cstheme="minorEastAsia" w:hint="eastAsia"/>
                <w:sz w:val="18"/>
                <w:szCs w:val="18"/>
              </w:rPr>
              <w:t>6、社保移交最大的障碍是啥？</w:t>
            </w:r>
          </w:p>
        </w:tc>
      </w:tr>
      <w:tr w:rsidR="00280E85" w:rsidTr="00922FD7">
        <w:trPr>
          <w:trHeight w:val="711"/>
          <w:jc w:val="center"/>
        </w:trPr>
        <w:tc>
          <w:tcPr>
            <w:tcW w:w="1135" w:type="dxa"/>
            <w:vMerge w:val="restart"/>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4月19日</w:t>
            </w:r>
          </w:p>
        </w:tc>
        <w:tc>
          <w:tcPr>
            <w:tcW w:w="1700"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12:00-14:00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C00000"/>
                <w:kern w:val="0"/>
                <w:sz w:val="18"/>
                <w:szCs w:val="18"/>
              </w:rPr>
            </w:pPr>
            <w:r>
              <w:rPr>
                <w:rFonts w:asciiTheme="minorEastAsia" w:hAnsiTheme="minorEastAsia" w:cstheme="minorEastAsia" w:hint="eastAsia"/>
                <w:b/>
                <w:bCs/>
                <w:color w:val="BF8F00" w:themeColor="accent4" w:themeShade="BF"/>
                <w:kern w:val="0"/>
                <w:sz w:val="18"/>
                <w:szCs w:val="18"/>
              </w:rPr>
              <w:t>午餐/午休（12:00-14:00）</w:t>
            </w:r>
          </w:p>
        </w:tc>
      </w:tr>
      <w:tr w:rsidR="00280E85">
        <w:trPr>
          <w:trHeight w:val="2423"/>
          <w:jc w:val="center"/>
        </w:trPr>
        <w:tc>
          <w:tcPr>
            <w:tcW w:w="1135" w:type="dxa"/>
            <w:vMerge/>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14:00-17:30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（二）从纳税人角度看《个税法》与实施条例</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1、原《个税法》弊端</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2、新《个税法》的重大变化</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3、新《个税法》主要内容</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（1）个税征税范围的界定</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a、综合所得包含哪些？</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b、综合所得收入如何确定？</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c、综合所得的减除费用；</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d、与项扣除；</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e、与项附加扣除；</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f、依法确定的其他扣除有哪些？</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g、工资薪金所得的累计预扣预缴法；</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h、劳务所得的累计预扣预缴计算；</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i、其他所得项目；</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j、汇算清缴的认识</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k、“视同销售条款”的阻击战；原有视同项目何去何从？</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l、“其他所得”的存废大战；其他所得还会回来吗？</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（2）纳税人重新分类：居民个人与非居民个人；</w:t>
            </w:r>
          </w:p>
          <w:p w:rsidR="00280E85" w:rsidRDefault="005C4628" w:rsidP="002A14A4">
            <w:pPr>
              <w:rPr>
                <w:rFonts w:asciiTheme="minorEastAsia" w:hAnsiTheme="minorEastAsia" w:cstheme="minorEastAsia"/>
                <w:sz w:val="18"/>
                <w:szCs w:val="18"/>
              </w:rPr>
            </w:pPr>
            <w:r>
              <w:rPr>
                <w:rFonts w:asciiTheme="minorEastAsia" w:hAnsiTheme="minorEastAsia" w:cstheme="minorEastAsia" w:hint="eastAsia"/>
                <w:sz w:val="18"/>
                <w:szCs w:val="18"/>
              </w:rPr>
              <w:t>（三）六项附加扣除</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1、专项附加扣除原则</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2、子女教育支出</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（1）扣除标准（2）扣除范围（3）扣除办法（4）疑难问题</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lastRenderedPageBreak/>
              <w:t>3、继续教育支出</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（1）扣除标准（2）扣除范围（3）扣除办法（4）疑难问题</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4、大病医疗支出</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（1）扣除标准（2）扣除范围（3）扣除办法（4）疑难问题</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5、住房贷款利息或住房租金支出</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（1）扣除标准（2）扣除范围（3）扣除办法（4）疑难问题</w:t>
            </w:r>
          </w:p>
          <w:p w:rsidR="00280E85" w:rsidRDefault="005C4628" w:rsidP="002A14A4">
            <w:pPr>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6、赡养老人支出</w:t>
            </w:r>
          </w:p>
          <w:p w:rsidR="00280E85" w:rsidRDefault="005C4628" w:rsidP="002A14A4">
            <w:pPr>
              <w:ind w:firstLineChars="400" w:firstLine="720"/>
              <w:rPr>
                <w:rFonts w:asciiTheme="minorEastAsia" w:hAnsiTheme="minorEastAsia" w:cstheme="minorEastAsia"/>
                <w:sz w:val="18"/>
                <w:szCs w:val="18"/>
              </w:rPr>
            </w:pPr>
            <w:r>
              <w:rPr>
                <w:rFonts w:asciiTheme="minorEastAsia" w:hAnsiTheme="minorEastAsia" w:cstheme="minorEastAsia" w:hint="eastAsia"/>
                <w:sz w:val="18"/>
                <w:szCs w:val="18"/>
              </w:rPr>
              <w:t>（1）扣除标准（2）扣除范围（3）扣除办法（4）疑难问题</w:t>
            </w:r>
          </w:p>
          <w:p w:rsidR="00280E85" w:rsidRDefault="005C4628" w:rsidP="002A14A4">
            <w:pPr>
              <w:ind w:firstLineChars="200" w:firstLine="360"/>
              <w:rPr>
                <w:rFonts w:asciiTheme="minorEastAsia" w:hAnsiTheme="minorEastAsia" w:cstheme="minorEastAsia"/>
                <w:color w:val="000000"/>
                <w:kern w:val="0"/>
                <w:sz w:val="18"/>
                <w:szCs w:val="18"/>
              </w:rPr>
            </w:pPr>
            <w:r>
              <w:rPr>
                <w:rFonts w:asciiTheme="minorEastAsia" w:hAnsiTheme="minorEastAsia" w:cstheme="minorEastAsia" w:hint="eastAsia"/>
                <w:sz w:val="18"/>
                <w:szCs w:val="18"/>
              </w:rPr>
              <w:t>7、信息资料报送及联合惩戒</w:t>
            </w:r>
          </w:p>
        </w:tc>
      </w:tr>
      <w:tr w:rsidR="00280E85">
        <w:trPr>
          <w:trHeight w:val="384"/>
          <w:jc w:val="center"/>
        </w:trPr>
        <w:tc>
          <w:tcPr>
            <w:tcW w:w="1135" w:type="dxa"/>
            <w:vMerge/>
            <w:tcBorders>
              <w:top w:val="single" w:sz="4" w:space="0" w:color="auto"/>
              <w:left w:val="single" w:sz="4" w:space="0" w:color="auto"/>
              <w:bottom w:val="single" w:sz="4" w:space="0" w:color="auto"/>
              <w:right w:val="single" w:sz="4" w:space="0" w:color="auto"/>
            </w:tcBorders>
            <w:shd w:val="clear" w:color="auto" w:fill="DEEBF6" w:themeFill="accent1" w:themeFillTint="32"/>
            <w:vAlign w:val="center"/>
          </w:tcPr>
          <w:p w:rsidR="00280E85" w:rsidRDefault="00280E85" w:rsidP="002A14A4">
            <w:pPr>
              <w:widowControl/>
              <w:jc w:val="center"/>
              <w:rPr>
                <w:rFonts w:asciiTheme="minorEastAsia" w:hAnsiTheme="minorEastAsia" w:cstheme="minorEastAsia"/>
                <w:color w:val="000000"/>
                <w:kern w:val="0"/>
                <w:sz w:val="18"/>
                <w:szCs w:val="18"/>
              </w:rPr>
            </w:pPr>
          </w:p>
        </w:tc>
        <w:tc>
          <w:tcPr>
            <w:tcW w:w="1700"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color w:val="000000"/>
                <w:kern w:val="0"/>
                <w:sz w:val="18"/>
                <w:szCs w:val="18"/>
              </w:rPr>
              <w:t>17:30</w:t>
            </w:r>
          </w:p>
        </w:tc>
        <w:tc>
          <w:tcPr>
            <w:tcW w:w="7085" w:type="dxa"/>
            <w:tcBorders>
              <w:top w:val="single" w:sz="4" w:space="0" w:color="auto"/>
              <w:left w:val="nil"/>
              <w:bottom w:val="single" w:sz="4" w:space="0" w:color="auto"/>
              <w:right w:val="single" w:sz="4" w:space="0" w:color="auto"/>
            </w:tcBorders>
            <w:shd w:val="clear" w:color="auto" w:fill="auto"/>
            <w:vAlign w:val="center"/>
          </w:tcPr>
          <w:p w:rsidR="00280E85" w:rsidRDefault="005C4628" w:rsidP="002A14A4">
            <w:pPr>
              <w:widowControl/>
              <w:jc w:val="center"/>
              <w:rPr>
                <w:rFonts w:asciiTheme="minorEastAsia" w:hAnsiTheme="minorEastAsia" w:cstheme="minorEastAsia"/>
                <w:color w:val="000000"/>
                <w:kern w:val="0"/>
                <w:sz w:val="18"/>
                <w:szCs w:val="18"/>
              </w:rPr>
            </w:pPr>
            <w:r>
              <w:rPr>
                <w:rFonts w:asciiTheme="minorEastAsia" w:hAnsiTheme="minorEastAsia" w:cstheme="minorEastAsia" w:hint="eastAsia"/>
                <w:b/>
                <w:bCs/>
                <w:color w:val="BF8F00" w:themeColor="accent4" w:themeShade="BF"/>
                <w:kern w:val="0"/>
                <w:sz w:val="18"/>
                <w:szCs w:val="18"/>
              </w:rPr>
              <w:t>会议结束</w:t>
            </w:r>
          </w:p>
        </w:tc>
      </w:tr>
    </w:tbl>
    <w:p w:rsidR="002A14A4" w:rsidRDefault="002A14A4"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A14A4" w:rsidRDefault="002A14A4"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A14A4" w:rsidRDefault="002A14A4"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A14A4" w:rsidRDefault="002A14A4"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922FD7" w:rsidRPr="00922FD7" w:rsidRDefault="00922FD7" w:rsidP="00922FD7">
      <w:pPr>
        <w:jc w:val="center"/>
        <w:rPr>
          <w:rFonts w:hint="eastAsia"/>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rFonts w:hint="eastAsia"/>
          <w:noProof/>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drawing>
          <wp:anchor distT="0" distB="0" distL="114300" distR="114300" simplePos="0" relativeHeight="251663872" behindDoc="0" locked="0" layoutInCell="1" allowOverlap="1" wp14:anchorId="1C50C837" wp14:editId="621D9808">
            <wp:simplePos x="0" y="0"/>
            <wp:positionH relativeFrom="column">
              <wp:posOffset>-271145</wp:posOffset>
            </wp:positionH>
            <wp:positionV relativeFrom="page">
              <wp:posOffset>5229225</wp:posOffset>
            </wp:positionV>
            <wp:extent cx="6305550" cy="3723640"/>
            <wp:effectExtent l="0" t="0" r="0" b="0"/>
            <wp:wrapSquare wrapText="bothSides"/>
            <wp:docPr id="7" name="图片 7" descr="8fb891fbf38d335aca59dc974117d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fb891fbf38d335aca59dc974117d733"/>
                    <pic:cNvPicPr>
                      <a:picLocks noChangeAspect="1"/>
                    </pic:cNvPicPr>
                  </pic:nvPicPr>
                  <pic:blipFill>
                    <a:blip r:embed="rId9"/>
                    <a:stretch>
                      <a:fillRect/>
                    </a:stretch>
                  </pic:blipFill>
                  <pic:spPr>
                    <a:xfrm>
                      <a:off x="0" y="0"/>
                      <a:ext cx="6305550" cy="3723640"/>
                    </a:xfrm>
                    <a:prstGeom prst="flowChartDocument">
                      <a:avLst/>
                    </a:prstGeom>
                  </pic:spPr>
                </pic:pic>
              </a:graphicData>
            </a:graphic>
            <wp14:sizeRelH relativeFrom="margin">
              <wp14:pctWidth>0</wp14:pctWidth>
            </wp14:sizeRelH>
            <wp14:sizeRelV relativeFrom="margin">
              <wp14:pctHeight>0</wp14:pctHeight>
            </wp14:sizeRelV>
          </wp:anchor>
        </w:drawing>
      </w:r>
    </w:p>
    <w:p w:rsidR="00922FD7" w:rsidRDefault="00922FD7" w:rsidP="002A14A4">
      <w:pPr>
        <w:jc w:val="cente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p w:rsidR="00280E85" w:rsidRPr="002A14A4" w:rsidRDefault="002A14A4" w:rsidP="002A14A4">
      <w:pPr>
        <w:jc w:val="cente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r>
        <w:rPr>
          <w:rFonts w:hint="eastAsia"/>
          <w:color w:val="1F3864" w:themeColor="accent5" w:themeShade="80"/>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lastRenderedPageBreak/>
        <w:t>参会确认函</w:t>
      </w:r>
    </w:p>
    <w:tbl>
      <w:tblPr>
        <w:tblStyle w:val="a5"/>
        <w:tblpPr w:leftFromText="180" w:rightFromText="180" w:vertAnchor="text" w:horzAnchor="margin" w:tblpY="640"/>
        <w:tblOverlap w:val="never"/>
        <w:tblW w:w="9239" w:type="dxa"/>
        <w:tblBorders>
          <w:top w:val="dashDotStroked" w:sz="24" w:space="0" w:color="2E74B5" w:themeColor="accent1" w:themeShade="BF"/>
          <w:left w:val="dashDotStroked" w:sz="24" w:space="0" w:color="2E74B5" w:themeColor="accent1" w:themeShade="BF"/>
          <w:bottom w:val="dashDotStroked" w:sz="24" w:space="0" w:color="2E74B5" w:themeColor="accent1" w:themeShade="BF"/>
          <w:right w:val="dashDotStroked" w:sz="24" w:space="0" w:color="2E74B5" w:themeColor="accent1" w:themeShade="BF"/>
          <w:insideH w:val="dotDotDash" w:sz="4" w:space="0" w:color="2F5496" w:themeColor="accent5" w:themeShade="BF"/>
          <w:insideV w:val="dotDotDash" w:sz="4" w:space="0" w:color="2F5496" w:themeColor="accent5" w:themeShade="BF"/>
        </w:tblBorders>
        <w:tblLayout w:type="fixed"/>
        <w:tblLook w:val="04A0" w:firstRow="1" w:lastRow="0" w:firstColumn="1" w:lastColumn="0" w:noHBand="0" w:noVBand="1"/>
      </w:tblPr>
      <w:tblGrid>
        <w:gridCol w:w="1120"/>
        <w:gridCol w:w="930"/>
        <w:gridCol w:w="1335"/>
        <w:gridCol w:w="1790"/>
        <w:gridCol w:w="175"/>
        <w:gridCol w:w="1123"/>
        <w:gridCol w:w="317"/>
        <w:gridCol w:w="2449"/>
      </w:tblGrid>
      <w:tr w:rsidR="002A14A4" w:rsidTr="002A14A4">
        <w:trPr>
          <w:trHeight w:val="555"/>
        </w:trPr>
        <w:tc>
          <w:tcPr>
            <w:tcW w:w="1120" w:type="dxa"/>
            <w:vMerge w:val="restart"/>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 w:val="30"/>
                <w:szCs w:val="30"/>
              </w:rPr>
            </w:pPr>
            <w:r>
              <w:rPr>
                <w:rFonts w:asciiTheme="minorEastAsia" w:hAnsiTheme="minorEastAsia" w:cs="黑体" w:hint="eastAsia"/>
                <w:b/>
                <w:bCs/>
                <w:sz w:val="30"/>
                <w:szCs w:val="30"/>
              </w:rPr>
              <w:t>报</w:t>
            </w:r>
          </w:p>
          <w:p w:rsidR="002A14A4" w:rsidRDefault="002A14A4" w:rsidP="002A14A4">
            <w:pPr>
              <w:snapToGrid w:val="0"/>
              <w:spacing w:before="120"/>
              <w:ind w:right="142"/>
              <w:jc w:val="center"/>
              <w:rPr>
                <w:rFonts w:asciiTheme="minorEastAsia" w:hAnsiTheme="minorEastAsia" w:cs="黑体"/>
                <w:b/>
                <w:bCs/>
                <w:sz w:val="30"/>
                <w:szCs w:val="30"/>
              </w:rPr>
            </w:pPr>
            <w:r>
              <w:rPr>
                <w:rFonts w:asciiTheme="minorEastAsia" w:hAnsiTheme="minorEastAsia" w:cs="黑体" w:hint="eastAsia"/>
                <w:b/>
                <w:bCs/>
                <w:sz w:val="30"/>
                <w:szCs w:val="30"/>
              </w:rPr>
              <w:t>名</w:t>
            </w:r>
          </w:p>
          <w:p w:rsidR="002A14A4" w:rsidRDefault="002A14A4" w:rsidP="002A14A4">
            <w:pPr>
              <w:snapToGrid w:val="0"/>
              <w:spacing w:before="120"/>
              <w:ind w:right="142"/>
              <w:jc w:val="center"/>
              <w:rPr>
                <w:rFonts w:asciiTheme="minorEastAsia" w:hAnsiTheme="minorEastAsia" w:cs="黑体"/>
                <w:b/>
                <w:bCs/>
                <w:sz w:val="30"/>
                <w:szCs w:val="30"/>
              </w:rPr>
            </w:pPr>
            <w:r>
              <w:rPr>
                <w:rFonts w:asciiTheme="minorEastAsia" w:hAnsiTheme="minorEastAsia" w:cs="黑体" w:hint="eastAsia"/>
                <w:b/>
                <w:bCs/>
                <w:sz w:val="30"/>
                <w:szCs w:val="30"/>
              </w:rPr>
              <w:t>方</w:t>
            </w:r>
          </w:p>
          <w:p w:rsidR="002A14A4" w:rsidRDefault="002A14A4" w:rsidP="002A14A4">
            <w:pPr>
              <w:snapToGrid w:val="0"/>
              <w:spacing w:before="120"/>
              <w:ind w:right="142"/>
              <w:jc w:val="center"/>
              <w:rPr>
                <w:rFonts w:asciiTheme="minorEastAsia" w:hAnsiTheme="minorEastAsia" w:cs="黑体"/>
                <w:b/>
                <w:bCs/>
                <w:szCs w:val="21"/>
              </w:rPr>
            </w:pPr>
            <w:r>
              <w:rPr>
                <w:rFonts w:asciiTheme="minorEastAsia" w:hAnsiTheme="minorEastAsia" w:cs="黑体" w:hint="eastAsia"/>
                <w:b/>
                <w:bCs/>
                <w:sz w:val="30"/>
                <w:szCs w:val="30"/>
              </w:rPr>
              <w:t>式</w:t>
            </w:r>
          </w:p>
        </w:tc>
        <w:tc>
          <w:tcPr>
            <w:tcW w:w="22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r>
              <w:rPr>
                <w:rFonts w:asciiTheme="minorEastAsia" w:hAnsiTheme="minorEastAsia" w:cs="黑体" w:hint="eastAsia"/>
                <w:b/>
                <w:bCs/>
                <w:szCs w:val="21"/>
              </w:rPr>
              <w:t>报 名 热 线</w:t>
            </w:r>
          </w:p>
        </w:tc>
        <w:tc>
          <w:tcPr>
            <w:tcW w:w="19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c>
          <w:tcPr>
            <w:tcW w:w="1440"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r>
              <w:rPr>
                <w:rFonts w:asciiTheme="minorEastAsia" w:hAnsiTheme="minorEastAsia" w:cs="黑体" w:hint="eastAsia"/>
                <w:b/>
                <w:bCs/>
                <w:szCs w:val="21"/>
              </w:rPr>
              <w:t>发送邮件</w:t>
            </w:r>
          </w:p>
        </w:tc>
        <w:tc>
          <w:tcPr>
            <w:tcW w:w="2449" w:type="dxa"/>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r>
      <w:tr w:rsidR="002A14A4" w:rsidTr="002A14A4">
        <w:trPr>
          <w:trHeight w:val="595"/>
        </w:trPr>
        <w:tc>
          <w:tcPr>
            <w:tcW w:w="1120" w:type="dxa"/>
            <w:vMerge/>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c>
          <w:tcPr>
            <w:tcW w:w="22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r>
              <w:rPr>
                <w:rFonts w:asciiTheme="minorEastAsia" w:hAnsiTheme="minorEastAsia" w:cs="黑体" w:hint="eastAsia"/>
                <w:b/>
                <w:bCs/>
                <w:szCs w:val="21"/>
              </w:rPr>
              <w:t>直接传真回执此表</w:t>
            </w:r>
          </w:p>
        </w:tc>
        <w:tc>
          <w:tcPr>
            <w:tcW w:w="19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c>
          <w:tcPr>
            <w:tcW w:w="1440"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r>
              <w:rPr>
                <w:rFonts w:asciiTheme="minorEastAsia" w:hAnsiTheme="minorEastAsia" w:cs="黑体" w:hint="eastAsia"/>
                <w:b/>
                <w:bCs/>
                <w:szCs w:val="21"/>
              </w:rPr>
              <w:t>业务人员</w:t>
            </w:r>
          </w:p>
        </w:tc>
        <w:tc>
          <w:tcPr>
            <w:tcW w:w="2449" w:type="dxa"/>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r>
      <w:tr w:rsidR="002A14A4" w:rsidTr="002A14A4">
        <w:trPr>
          <w:trHeight w:val="690"/>
        </w:trPr>
        <w:tc>
          <w:tcPr>
            <w:tcW w:w="1120" w:type="dxa"/>
            <w:vMerge/>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szCs w:val="21"/>
              </w:rPr>
            </w:pPr>
          </w:p>
        </w:tc>
        <w:tc>
          <w:tcPr>
            <w:tcW w:w="22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szCs w:val="21"/>
              </w:rPr>
            </w:pPr>
            <w:r>
              <w:rPr>
                <w:rFonts w:asciiTheme="minorEastAsia" w:hAnsiTheme="minorEastAsia" w:cs="黑体" w:hint="eastAsia"/>
                <w:szCs w:val="21"/>
              </w:rPr>
              <w:t>公司名称（发票抬头）</w:t>
            </w:r>
          </w:p>
        </w:tc>
        <w:tc>
          <w:tcPr>
            <w:tcW w:w="5854" w:type="dxa"/>
            <w:gridSpan w:val="5"/>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r>
      <w:tr w:rsidR="002A14A4" w:rsidTr="00922FD7">
        <w:trPr>
          <w:trHeight w:val="624"/>
        </w:trPr>
        <w:tc>
          <w:tcPr>
            <w:tcW w:w="1120" w:type="dxa"/>
            <w:vMerge/>
            <w:tcBorders>
              <w:tl2br w:val="nil"/>
              <w:tr2bl w:val="nil"/>
            </w:tcBorders>
            <w:vAlign w:val="center"/>
          </w:tcPr>
          <w:p w:rsidR="002A14A4" w:rsidRDefault="002A14A4" w:rsidP="002A14A4">
            <w:pPr>
              <w:snapToGrid w:val="0"/>
              <w:spacing w:before="120"/>
              <w:ind w:right="142"/>
              <w:jc w:val="center"/>
              <w:rPr>
                <w:rFonts w:asciiTheme="minorEastAsia" w:hAnsiTheme="minorEastAsia" w:cs="宋体"/>
                <w:szCs w:val="21"/>
              </w:rPr>
            </w:pPr>
          </w:p>
        </w:tc>
        <w:tc>
          <w:tcPr>
            <w:tcW w:w="2265" w:type="dxa"/>
            <w:gridSpan w:val="2"/>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szCs w:val="21"/>
              </w:rPr>
            </w:pPr>
            <w:r>
              <w:rPr>
                <w:rFonts w:asciiTheme="minorEastAsia" w:hAnsiTheme="minorEastAsia" w:cs="宋体" w:hint="eastAsia"/>
                <w:szCs w:val="21"/>
              </w:rPr>
              <w:t>会刊中宣传公司名称（如一致可不填）</w:t>
            </w:r>
          </w:p>
        </w:tc>
        <w:tc>
          <w:tcPr>
            <w:tcW w:w="5854" w:type="dxa"/>
            <w:gridSpan w:val="5"/>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Cs w:val="21"/>
              </w:rPr>
            </w:pPr>
          </w:p>
        </w:tc>
      </w:tr>
      <w:tr w:rsidR="002A14A4" w:rsidTr="00922FD7">
        <w:trPr>
          <w:trHeight w:val="166"/>
        </w:trPr>
        <w:tc>
          <w:tcPr>
            <w:tcW w:w="9239" w:type="dxa"/>
            <w:gridSpan w:val="8"/>
            <w:tcBorders>
              <w:tl2br w:val="nil"/>
              <w:tr2bl w:val="nil"/>
            </w:tcBorders>
            <w:vAlign w:val="center"/>
          </w:tcPr>
          <w:p w:rsidR="002A14A4" w:rsidRPr="00922FD7" w:rsidRDefault="002A14A4" w:rsidP="002A14A4">
            <w:pPr>
              <w:snapToGrid w:val="0"/>
              <w:spacing w:before="120"/>
              <w:ind w:right="142"/>
              <w:jc w:val="center"/>
              <w:rPr>
                <w:rFonts w:asciiTheme="minorEastAsia" w:hAnsiTheme="minorEastAsia" w:cs="黑体"/>
                <w:b/>
                <w:bCs/>
                <w:sz w:val="4"/>
                <w:szCs w:val="21"/>
              </w:rPr>
            </w:pPr>
          </w:p>
        </w:tc>
      </w:tr>
      <w:tr w:rsidR="002A14A4" w:rsidTr="002A14A4">
        <w:trPr>
          <w:trHeight w:val="430"/>
        </w:trPr>
        <w:tc>
          <w:tcPr>
            <w:tcW w:w="1120" w:type="dxa"/>
            <w:vMerge w:val="restart"/>
            <w:tcBorders>
              <w:tl2br w:val="nil"/>
              <w:tr2bl w:val="nil"/>
            </w:tcBorders>
            <w:vAlign w:val="center"/>
          </w:tcPr>
          <w:p w:rsidR="002A14A4" w:rsidRDefault="002A14A4" w:rsidP="002A14A4">
            <w:pPr>
              <w:snapToGrid w:val="0"/>
              <w:spacing w:before="120"/>
              <w:ind w:right="142"/>
              <w:jc w:val="center"/>
              <w:rPr>
                <w:rFonts w:asciiTheme="minorEastAsia" w:hAnsiTheme="minorEastAsia" w:cs="黑体"/>
                <w:b/>
                <w:bCs/>
                <w:sz w:val="30"/>
                <w:szCs w:val="30"/>
              </w:rPr>
            </w:pPr>
            <w:r>
              <w:rPr>
                <w:rFonts w:asciiTheme="minorEastAsia" w:hAnsiTheme="minorEastAsia" w:cs="黑体" w:hint="eastAsia"/>
                <w:b/>
                <w:bCs/>
                <w:sz w:val="30"/>
                <w:szCs w:val="30"/>
              </w:rPr>
              <w:t>参会</w:t>
            </w:r>
          </w:p>
          <w:p w:rsidR="002A14A4" w:rsidRDefault="002A14A4" w:rsidP="002A14A4">
            <w:pPr>
              <w:snapToGrid w:val="0"/>
              <w:spacing w:before="120"/>
              <w:ind w:right="142"/>
              <w:jc w:val="center"/>
              <w:rPr>
                <w:rFonts w:asciiTheme="minorEastAsia" w:hAnsiTheme="minorEastAsia" w:cs="宋体"/>
              </w:rPr>
            </w:pPr>
            <w:r>
              <w:rPr>
                <w:rFonts w:asciiTheme="minorEastAsia" w:hAnsiTheme="minorEastAsia" w:cs="黑体" w:hint="eastAsia"/>
                <w:b/>
                <w:bCs/>
                <w:sz w:val="30"/>
                <w:szCs w:val="30"/>
              </w:rPr>
              <w:t>代表</w:t>
            </w:r>
          </w:p>
        </w:tc>
        <w:tc>
          <w:tcPr>
            <w:tcW w:w="930" w:type="dxa"/>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姓名</w:t>
            </w:r>
          </w:p>
        </w:tc>
        <w:tc>
          <w:tcPr>
            <w:tcW w:w="3125" w:type="dxa"/>
            <w:gridSpan w:val="2"/>
            <w:tcBorders>
              <w:tl2br w:val="nil"/>
              <w:tr2bl w:val="nil"/>
            </w:tcBorders>
            <w:vAlign w:val="center"/>
          </w:tcPr>
          <w:p w:rsidR="002A14A4" w:rsidRDefault="002A14A4" w:rsidP="002A14A4">
            <w:pPr>
              <w:jc w:val="right"/>
              <w:rPr>
                <w:rFonts w:asciiTheme="minorEastAsia" w:hAnsiTheme="minorEastAsia" w:cs="宋体"/>
              </w:rPr>
            </w:pPr>
            <w:r>
              <w:rPr>
                <w:rFonts w:asciiTheme="minorEastAsia" w:hAnsiTheme="minorEastAsia" w:cs="宋体" w:hint="eastAsia"/>
              </w:rPr>
              <w:sym w:font="Wingdings 2" w:char="00A3"/>
            </w:r>
            <w:r>
              <w:rPr>
                <w:rFonts w:asciiTheme="minorEastAsia" w:hAnsiTheme="minorEastAsia" w:cs="宋体" w:hint="eastAsia"/>
              </w:rPr>
              <w:t>先生</w:t>
            </w:r>
            <w:r>
              <w:rPr>
                <w:rFonts w:asciiTheme="minorEastAsia" w:hAnsiTheme="minorEastAsia" w:cs="宋体"/>
              </w:rPr>
              <w:t>/</w:t>
            </w:r>
            <w:r>
              <w:rPr>
                <w:rFonts w:asciiTheme="minorEastAsia" w:hAnsiTheme="minorEastAsia" w:cs="宋体" w:hint="eastAsia"/>
              </w:rPr>
              <w:sym w:font="Wingdings 2" w:char="00A3"/>
            </w:r>
            <w:r>
              <w:rPr>
                <w:rFonts w:asciiTheme="minorEastAsia" w:hAnsiTheme="minorEastAsia" w:cs="宋体" w:hint="eastAsia"/>
              </w:rPr>
              <w:t>女士</w:t>
            </w:r>
          </w:p>
        </w:tc>
        <w:tc>
          <w:tcPr>
            <w:tcW w:w="1298" w:type="dxa"/>
            <w:gridSpan w:val="2"/>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职位</w:t>
            </w:r>
          </w:p>
        </w:tc>
        <w:tc>
          <w:tcPr>
            <w:tcW w:w="2766" w:type="dxa"/>
            <w:gridSpan w:val="2"/>
            <w:tcBorders>
              <w:tl2br w:val="nil"/>
              <w:tr2bl w:val="nil"/>
            </w:tcBorders>
            <w:vAlign w:val="center"/>
          </w:tcPr>
          <w:p w:rsidR="002A14A4" w:rsidRDefault="002A14A4" w:rsidP="002A14A4">
            <w:pPr>
              <w:jc w:val="center"/>
              <w:rPr>
                <w:rFonts w:asciiTheme="minorEastAsia" w:hAnsiTheme="minorEastAsia" w:cs="宋体"/>
              </w:rPr>
            </w:pPr>
          </w:p>
        </w:tc>
      </w:tr>
      <w:tr w:rsidR="002A14A4" w:rsidTr="002A14A4">
        <w:trPr>
          <w:trHeight w:val="425"/>
        </w:trPr>
        <w:tc>
          <w:tcPr>
            <w:tcW w:w="1120" w:type="dxa"/>
            <w:vMerge/>
            <w:tcBorders>
              <w:tl2br w:val="nil"/>
              <w:tr2bl w:val="nil"/>
            </w:tcBorders>
            <w:vAlign w:val="center"/>
          </w:tcPr>
          <w:p w:rsidR="002A14A4" w:rsidRDefault="002A14A4" w:rsidP="002A14A4">
            <w:pPr>
              <w:jc w:val="center"/>
              <w:rPr>
                <w:rFonts w:asciiTheme="minorEastAsia" w:hAnsiTheme="minorEastAsia" w:cs="宋体"/>
              </w:rPr>
            </w:pPr>
          </w:p>
        </w:tc>
        <w:tc>
          <w:tcPr>
            <w:tcW w:w="930" w:type="dxa"/>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手机号</w:t>
            </w:r>
          </w:p>
        </w:tc>
        <w:tc>
          <w:tcPr>
            <w:tcW w:w="3125" w:type="dxa"/>
            <w:gridSpan w:val="2"/>
            <w:tcBorders>
              <w:tl2br w:val="nil"/>
              <w:tr2bl w:val="nil"/>
            </w:tcBorders>
            <w:vAlign w:val="center"/>
          </w:tcPr>
          <w:p w:rsidR="002A14A4" w:rsidRDefault="002A14A4" w:rsidP="002A14A4">
            <w:pPr>
              <w:jc w:val="center"/>
              <w:rPr>
                <w:rFonts w:asciiTheme="minorEastAsia" w:hAnsiTheme="minorEastAsia" w:cs="宋体"/>
              </w:rPr>
            </w:pPr>
          </w:p>
        </w:tc>
        <w:tc>
          <w:tcPr>
            <w:tcW w:w="1298" w:type="dxa"/>
            <w:gridSpan w:val="2"/>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E-mail/QQ</w:t>
            </w:r>
          </w:p>
        </w:tc>
        <w:tc>
          <w:tcPr>
            <w:tcW w:w="2766" w:type="dxa"/>
            <w:gridSpan w:val="2"/>
            <w:tcBorders>
              <w:tl2br w:val="nil"/>
              <w:tr2bl w:val="nil"/>
            </w:tcBorders>
            <w:vAlign w:val="center"/>
          </w:tcPr>
          <w:p w:rsidR="002A14A4" w:rsidRDefault="002A14A4" w:rsidP="002A14A4">
            <w:pPr>
              <w:jc w:val="center"/>
              <w:rPr>
                <w:rFonts w:asciiTheme="minorEastAsia" w:hAnsiTheme="minorEastAsia" w:cs="宋体"/>
              </w:rPr>
            </w:pPr>
          </w:p>
        </w:tc>
      </w:tr>
      <w:tr w:rsidR="002A14A4" w:rsidTr="002A14A4">
        <w:trPr>
          <w:trHeight w:val="439"/>
        </w:trPr>
        <w:tc>
          <w:tcPr>
            <w:tcW w:w="1120" w:type="dxa"/>
            <w:vMerge/>
            <w:tcBorders>
              <w:tl2br w:val="nil"/>
              <w:tr2bl w:val="nil"/>
            </w:tcBorders>
            <w:vAlign w:val="center"/>
          </w:tcPr>
          <w:p w:rsidR="002A14A4" w:rsidRDefault="002A14A4" w:rsidP="002A14A4">
            <w:pPr>
              <w:jc w:val="center"/>
              <w:rPr>
                <w:rFonts w:asciiTheme="minorEastAsia" w:hAnsiTheme="minorEastAsia" w:cs="宋体"/>
              </w:rPr>
            </w:pPr>
          </w:p>
        </w:tc>
        <w:tc>
          <w:tcPr>
            <w:tcW w:w="930" w:type="dxa"/>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电话</w:t>
            </w:r>
          </w:p>
        </w:tc>
        <w:tc>
          <w:tcPr>
            <w:tcW w:w="3125" w:type="dxa"/>
            <w:gridSpan w:val="2"/>
            <w:tcBorders>
              <w:tl2br w:val="nil"/>
              <w:tr2bl w:val="nil"/>
            </w:tcBorders>
            <w:vAlign w:val="center"/>
          </w:tcPr>
          <w:p w:rsidR="002A14A4" w:rsidRDefault="002A14A4" w:rsidP="002A14A4">
            <w:pPr>
              <w:jc w:val="center"/>
              <w:rPr>
                <w:rFonts w:asciiTheme="minorEastAsia" w:hAnsiTheme="minorEastAsia" w:cs="宋体"/>
              </w:rPr>
            </w:pPr>
          </w:p>
        </w:tc>
        <w:tc>
          <w:tcPr>
            <w:tcW w:w="1298" w:type="dxa"/>
            <w:gridSpan w:val="2"/>
            <w:tcBorders>
              <w:tl2br w:val="nil"/>
              <w:tr2bl w:val="nil"/>
            </w:tcBorders>
            <w:vAlign w:val="center"/>
          </w:tcPr>
          <w:p w:rsidR="002A14A4" w:rsidRDefault="002A14A4" w:rsidP="002A14A4">
            <w:pPr>
              <w:jc w:val="center"/>
              <w:rPr>
                <w:rFonts w:asciiTheme="minorEastAsia" w:hAnsiTheme="minorEastAsia" w:cs="宋体"/>
              </w:rPr>
            </w:pPr>
            <w:r>
              <w:rPr>
                <w:rFonts w:asciiTheme="minorEastAsia" w:hAnsiTheme="minorEastAsia" w:cs="宋体" w:hint="eastAsia"/>
              </w:rPr>
              <w:t>传真</w:t>
            </w:r>
          </w:p>
        </w:tc>
        <w:tc>
          <w:tcPr>
            <w:tcW w:w="2766" w:type="dxa"/>
            <w:gridSpan w:val="2"/>
            <w:tcBorders>
              <w:tl2br w:val="nil"/>
              <w:tr2bl w:val="nil"/>
            </w:tcBorders>
            <w:vAlign w:val="center"/>
          </w:tcPr>
          <w:p w:rsidR="002A14A4" w:rsidRDefault="002A14A4" w:rsidP="002A14A4">
            <w:pPr>
              <w:jc w:val="center"/>
              <w:rPr>
                <w:rFonts w:asciiTheme="minorEastAsia" w:hAnsiTheme="minorEastAsia" w:cs="宋体"/>
              </w:rPr>
            </w:pPr>
          </w:p>
        </w:tc>
      </w:tr>
      <w:tr w:rsidR="00922FD7" w:rsidTr="00922FD7">
        <w:trPr>
          <w:trHeight w:val="88"/>
        </w:trPr>
        <w:tc>
          <w:tcPr>
            <w:tcW w:w="9239" w:type="dxa"/>
            <w:gridSpan w:val="8"/>
            <w:tcBorders>
              <w:tl2br w:val="nil"/>
              <w:tr2bl w:val="nil"/>
            </w:tcBorders>
            <w:vAlign w:val="center"/>
          </w:tcPr>
          <w:p w:rsidR="00922FD7" w:rsidRPr="00922FD7" w:rsidRDefault="00922FD7" w:rsidP="00922FD7">
            <w:pPr>
              <w:snapToGrid w:val="0"/>
              <w:spacing w:before="120"/>
              <w:ind w:right="142"/>
              <w:jc w:val="center"/>
              <w:rPr>
                <w:rFonts w:asciiTheme="minorEastAsia" w:hAnsiTheme="minorEastAsia" w:cs="黑体"/>
                <w:b/>
                <w:bCs/>
                <w:sz w:val="4"/>
                <w:szCs w:val="21"/>
              </w:rPr>
            </w:pPr>
          </w:p>
        </w:tc>
      </w:tr>
      <w:tr w:rsidR="00922FD7" w:rsidTr="002A14A4">
        <w:trPr>
          <w:trHeight w:val="439"/>
        </w:trPr>
        <w:tc>
          <w:tcPr>
            <w:tcW w:w="1120" w:type="dxa"/>
            <w:vMerge w:val="restart"/>
            <w:tcBorders>
              <w:tl2br w:val="nil"/>
              <w:tr2bl w:val="nil"/>
            </w:tcBorders>
            <w:vAlign w:val="center"/>
          </w:tcPr>
          <w:p w:rsidR="00922FD7" w:rsidRDefault="00922FD7" w:rsidP="00922FD7">
            <w:pPr>
              <w:snapToGrid w:val="0"/>
              <w:spacing w:before="120"/>
              <w:ind w:right="142"/>
              <w:jc w:val="center"/>
              <w:rPr>
                <w:rFonts w:asciiTheme="minorEastAsia" w:hAnsiTheme="minorEastAsia" w:cs="宋体"/>
              </w:rPr>
            </w:pPr>
            <w:r>
              <w:rPr>
                <w:rFonts w:asciiTheme="minorEastAsia" w:hAnsiTheme="minorEastAsia" w:cs="黑体" w:hint="eastAsia"/>
                <w:b/>
                <w:bCs/>
                <w:sz w:val="30"/>
                <w:szCs w:val="30"/>
              </w:rPr>
              <w:t>参会代表</w:t>
            </w: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姓名</w:t>
            </w:r>
          </w:p>
        </w:tc>
        <w:tc>
          <w:tcPr>
            <w:tcW w:w="3125" w:type="dxa"/>
            <w:gridSpan w:val="2"/>
            <w:tcBorders>
              <w:tl2br w:val="nil"/>
              <w:tr2bl w:val="nil"/>
            </w:tcBorders>
            <w:vAlign w:val="center"/>
          </w:tcPr>
          <w:p w:rsidR="00922FD7" w:rsidRDefault="00922FD7" w:rsidP="00922FD7">
            <w:pPr>
              <w:jc w:val="right"/>
              <w:rPr>
                <w:rFonts w:asciiTheme="minorEastAsia" w:hAnsiTheme="minorEastAsia" w:cs="宋体"/>
              </w:rPr>
            </w:pPr>
            <w:r>
              <w:rPr>
                <w:rFonts w:asciiTheme="minorEastAsia" w:hAnsiTheme="minorEastAsia" w:cs="宋体" w:hint="eastAsia"/>
              </w:rPr>
              <w:sym w:font="Wingdings 2" w:char="00A3"/>
            </w:r>
            <w:r>
              <w:rPr>
                <w:rFonts w:asciiTheme="minorEastAsia" w:hAnsiTheme="minorEastAsia" w:cs="宋体" w:hint="eastAsia"/>
              </w:rPr>
              <w:t>先生</w:t>
            </w:r>
            <w:r>
              <w:rPr>
                <w:rFonts w:asciiTheme="minorEastAsia" w:hAnsiTheme="minorEastAsia" w:cs="宋体"/>
              </w:rPr>
              <w:t>/</w:t>
            </w:r>
            <w:r>
              <w:rPr>
                <w:rFonts w:asciiTheme="minorEastAsia" w:hAnsiTheme="minorEastAsia" w:cs="宋体" w:hint="eastAsia"/>
              </w:rPr>
              <w:sym w:font="Wingdings 2" w:char="00A3"/>
            </w:r>
            <w:r>
              <w:rPr>
                <w:rFonts w:asciiTheme="minorEastAsia" w:hAnsiTheme="minorEastAsia" w:cs="宋体" w:hint="eastAsia"/>
              </w:rPr>
              <w:t>女士</w:t>
            </w: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职位</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2A14A4">
        <w:trPr>
          <w:trHeight w:val="439"/>
        </w:trPr>
        <w:tc>
          <w:tcPr>
            <w:tcW w:w="1120" w:type="dxa"/>
            <w:vMerge/>
            <w:tcBorders>
              <w:tl2br w:val="nil"/>
              <w:tr2bl w:val="nil"/>
            </w:tcBorders>
            <w:vAlign w:val="center"/>
          </w:tcPr>
          <w:p w:rsidR="00922FD7" w:rsidRDefault="00922FD7" w:rsidP="00922FD7">
            <w:pPr>
              <w:jc w:val="center"/>
              <w:rPr>
                <w:rFonts w:asciiTheme="minorEastAsia" w:hAnsiTheme="minorEastAsia" w:cs="宋体"/>
              </w:rPr>
            </w:pP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手机号</w:t>
            </w:r>
          </w:p>
        </w:tc>
        <w:tc>
          <w:tcPr>
            <w:tcW w:w="3125" w:type="dxa"/>
            <w:gridSpan w:val="2"/>
            <w:tcBorders>
              <w:tl2br w:val="nil"/>
              <w:tr2bl w:val="nil"/>
            </w:tcBorders>
            <w:vAlign w:val="center"/>
          </w:tcPr>
          <w:p w:rsidR="00922FD7" w:rsidRDefault="00922FD7" w:rsidP="00922FD7">
            <w:pPr>
              <w:jc w:val="center"/>
              <w:rPr>
                <w:rFonts w:asciiTheme="minorEastAsia" w:hAnsiTheme="minorEastAsia" w:cs="宋体"/>
              </w:rPr>
            </w:pP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E-mail/QQ</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2A14A4">
        <w:trPr>
          <w:trHeight w:val="439"/>
        </w:trPr>
        <w:tc>
          <w:tcPr>
            <w:tcW w:w="1120" w:type="dxa"/>
            <w:vMerge/>
            <w:tcBorders>
              <w:tl2br w:val="nil"/>
              <w:tr2bl w:val="nil"/>
            </w:tcBorders>
            <w:vAlign w:val="center"/>
          </w:tcPr>
          <w:p w:rsidR="00922FD7" w:rsidRDefault="00922FD7" w:rsidP="00922FD7">
            <w:pPr>
              <w:jc w:val="center"/>
              <w:rPr>
                <w:rFonts w:asciiTheme="minorEastAsia" w:hAnsiTheme="minorEastAsia" w:cs="宋体"/>
              </w:rPr>
            </w:pP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电话</w:t>
            </w:r>
          </w:p>
        </w:tc>
        <w:tc>
          <w:tcPr>
            <w:tcW w:w="3125" w:type="dxa"/>
            <w:gridSpan w:val="2"/>
            <w:tcBorders>
              <w:tl2br w:val="nil"/>
              <w:tr2bl w:val="nil"/>
            </w:tcBorders>
            <w:vAlign w:val="center"/>
          </w:tcPr>
          <w:p w:rsidR="00922FD7" w:rsidRDefault="00922FD7" w:rsidP="00922FD7">
            <w:pPr>
              <w:jc w:val="center"/>
              <w:rPr>
                <w:rFonts w:asciiTheme="minorEastAsia" w:hAnsiTheme="minorEastAsia" w:cs="宋体"/>
              </w:rPr>
            </w:pP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传真</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922FD7">
        <w:trPr>
          <w:trHeight w:val="110"/>
        </w:trPr>
        <w:tc>
          <w:tcPr>
            <w:tcW w:w="9239" w:type="dxa"/>
            <w:gridSpan w:val="8"/>
            <w:tcBorders>
              <w:tl2br w:val="nil"/>
              <w:tr2bl w:val="nil"/>
            </w:tcBorders>
            <w:vAlign w:val="center"/>
          </w:tcPr>
          <w:p w:rsidR="00922FD7" w:rsidRPr="00922FD7" w:rsidRDefault="00922FD7" w:rsidP="00922FD7">
            <w:pPr>
              <w:snapToGrid w:val="0"/>
              <w:spacing w:before="120"/>
              <w:ind w:right="142"/>
              <w:jc w:val="center"/>
              <w:rPr>
                <w:rFonts w:asciiTheme="minorEastAsia" w:hAnsiTheme="minorEastAsia" w:cs="黑体"/>
                <w:b/>
                <w:bCs/>
                <w:sz w:val="4"/>
                <w:szCs w:val="21"/>
              </w:rPr>
            </w:pPr>
          </w:p>
        </w:tc>
      </w:tr>
      <w:tr w:rsidR="00922FD7" w:rsidTr="002A14A4">
        <w:trPr>
          <w:trHeight w:val="439"/>
        </w:trPr>
        <w:tc>
          <w:tcPr>
            <w:tcW w:w="1120" w:type="dxa"/>
            <w:vMerge w:val="restart"/>
            <w:tcBorders>
              <w:tl2br w:val="nil"/>
              <w:tr2bl w:val="nil"/>
            </w:tcBorders>
            <w:vAlign w:val="center"/>
          </w:tcPr>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参会</w:t>
            </w:r>
          </w:p>
          <w:p w:rsidR="00922FD7" w:rsidRDefault="00922FD7" w:rsidP="00922FD7">
            <w:pPr>
              <w:snapToGrid w:val="0"/>
              <w:jc w:val="center"/>
              <w:rPr>
                <w:rFonts w:asciiTheme="minorEastAsia" w:hAnsiTheme="minorEastAsia" w:cs="宋体"/>
              </w:rPr>
            </w:pPr>
            <w:r>
              <w:rPr>
                <w:rFonts w:asciiTheme="minorEastAsia" w:hAnsiTheme="minorEastAsia" w:cs="黑体" w:hint="eastAsia"/>
                <w:b/>
                <w:bCs/>
                <w:sz w:val="30"/>
                <w:szCs w:val="30"/>
              </w:rPr>
              <w:t>代表</w:t>
            </w: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姓名</w:t>
            </w:r>
          </w:p>
        </w:tc>
        <w:tc>
          <w:tcPr>
            <w:tcW w:w="3125" w:type="dxa"/>
            <w:gridSpan w:val="2"/>
            <w:tcBorders>
              <w:tl2br w:val="nil"/>
              <w:tr2bl w:val="nil"/>
            </w:tcBorders>
            <w:vAlign w:val="center"/>
          </w:tcPr>
          <w:p w:rsidR="00922FD7" w:rsidRDefault="00922FD7" w:rsidP="00922FD7">
            <w:pPr>
              <w:jc w:val="right"/>
              <w:rPr>
                <w:rFonts w:asciiTheme="minorEastAsia" w:hAnsiTheme="minorEastAsia" w:cs="宋体"/>
              </w:rPr>
            </w:pPr>
            <w:r>
              <w:rPr>
                <w:rFonts w:asciiTheme="minorEastAsia" w:hAnsiTheme="minorEastAsia" w:cs="宋体" w:hint="eastAsia"/>
              </w:rPr>
              <w:sym w:font="Wingdings 2" w:char="00A3"/>
            </w:r>
            <w:r>
              <w:rPr>
                <w:rFonts w:asciiTheme="minorEastAsia" w:hAnsiTheme="minorEastAsia" w:cs="宋体" w:hint="eastAsia"/>
              </w:rPr>
              <w:t>先生</w:t>
            </w:r>
            <w:r>
              <w:rPr>
                <w:rFonts w:asciiTheme="minorEastAsia" w:hAnsiTheme="minorEastAsia" w:cs="宋体"/>
              </w:rPr>
              <w:t>/</w:t>
            </w:r>
            <w:r>
              <w:rPr>
                <w:rFonts w:asciiTheme="minorEastAsia" w:hAnsiTheme="minorEastAsia" w:cs="宋体" w:hint="eastAsia"/>
              </w:rPr>
              <w:sym w:font="Wingdings 2" w:char="00A3"/>
            </w:r>
            <w:r>
              <w:rPr>
                <w:rFonts w:asciiTheme="minorEastAsia" w:hAnsiTheme="minorEastAsia" w:cs="宋体" w:hint="eastAsia"/>
              </w:rPr>
              <w:t>女士</w:t>
            </w: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职位</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2A14A4">
        <w:trPr>
          <w:trHeight w:val="439"/>
        </w:trPr>
        <w:tc>
          <w:tcPr>
            <w:tcW w:w="1120" w:type="dxa"/>
            <w:vMerge/>
            <w:tcBorders>
              <w:tl2br w:val="nil"/>
              <w:tr2bl w:val="nil"/>
            </w:tcBorders>
            <w:vAlign w:val="center"/>
          </w:tcPr>
          <w:p w:rsidR="00922FD7" w:rsidRDefault="00922FD7" w:rsidP="00922FD7">
            <w:pPr>
              <w:jc w:val="center"/>
              <w:rPr>
                <w:rFonts w:asciiTheme="minorEastAsia" w:hAnsiTheme="minorEastAsia" w:cs="宋体"/>
              </w:rPr>
            </w:pP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手机号</w:t>
            </w:r>
          </w:p>
        </w:tc>
        <w:tc>
          <w:tcPr>
            <w:tcW w:w="3125" w:type="dxa"/>
            <w:gridSpan w:val="2"/>
            <w:tcBorders>
              <w:tl2br w:val="nil"/>
              <w:tr2bl w:val="nil"/>
            </w:tcBorders>
            <w:vAlign w:val="center"/>
          </w:tcPr>
          <w:p w:rsidR="00922FD7" w:rsidRDefault="00922FD7" w:rsidP="00922FD7">
            <w:pPr>
              <w:jc w:val="center"/>
              <w:rPr>
                <w:rFonts w:asciiTheme="minorEastAsia" w:hAnsiTheme="minorEastAsia" w:cs="宋体"/>
              </w:rPr>
            </w:pP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E-mail/QQ</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2A14A4">
        <w:trPr>
          <w:trHeight w:val="439"/>
        </w:trPr>
        <w:tc>
          <w:tcPr>
            <w:tcW w:w="1120" w:type="dxa"/>
            <w:vMerge/>
            <w:tcBorders>
              <w:tl2br w:val="nil"/>
              <w:tr2bl w:val="nil"/>
            </w:tcBorders>
            <w:vAlign w:val="center"/>
          </w:tcPr>
          <w:p w:rsidR="00922FD7" w:rsidRDefault="00922FD7" w:rsidP="00922FD7">
            <w:pPr>
              <w:jc w:val="center"/>
              <w:rPr>
                <w:rFonts w:asciiTheme="minorEastAsia" w:hAnsiTheme="minorEastAsia" w:cs="宋体"/>
              </w:rPr>
            </w:pPr>
          </w:p>
        </w:tc>
        <w:tc>
          <w:tcPr>
            <w:tcW w:w="930" w:type="dxa"/>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电话</w:t>
            </w:r>
          </w:p>
        </w:tc>
        <w:tc>
          <w:tcPr>
            <w:tcW w:w="3125" w:type="dxa"/>
            <w:gridSpan w:val="2"/>
            <w:tcBorders>
              <w:tl2br w:val="nil"/>
              <w:tr2bl w:val="nil"/>
            </w:tcBorders>
            <w:vAlign w:val="center"/>
          </w:tcPr>
          <w:p w:rsidR="00922FD7" w:rsidRDefault="00922FD7" w:rsidP="00922FD7">
            <w:pPr>
              <w:jc w:val="center"/>
              <w:rPr>
                <w:rFonts w:asciiTheme="minorEastAsia" w:hAnsiTheme="minorEastAsia" w:cs="宋体"/>
              </w:rPr>
            </w:pPr>
          </w:p>
        </w:tc>
        <w:tc>
          <w:tcPr>
            <w:tcW w:w="1298" w:type="dxa"/>
            <w:gridSpan w:val="2"/>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rPr>
              <w:t>传真</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rPr>
            </w:pPr>
          </w:p>
        </w:tc>
      </w:tr>
      <w:tr w:rsidR="00922FD7" w:rsidTr="00922FD7">
        <w:trPr>
          <w:trHeight w:val="145"/>
        </w:trPr>
        <w:tc>
          <w:tcPr>
            <w:tcW w:w="9239" w:type="dxa"/>
            <w:gridSpan w:val="8"/>
            <w:tcBorders>
              <w:tl2br w:val="nil"/>
              <w:tr2bl w:val="nil"/>
            </w:tcBorders>
            <w:vAlign w:val="center"/>
          </w:tcPr>
          <w:p w:rsidR="00922FD7" w:rsidRPr="00922FD7" w:rsidRDefault="00922FD7" w:rsidP="00922FD7">
            <w:pPr>
              <w:snapToGrid w:val="0"/>
              <w:spacing w:before="120"/>
              <w:ind w:right="142"/>
              <w:jc w:val="center"/>
              <w:rPr>
                <w:rFonts w:asciiTheme="minorEastAsia" w:hAnsiTheme="minorEastAsia" w:cs="黑体"/>
                <w:b/>
                <w:bCs/>
                <w:sz w:val="4"/>
                <w:szCs w:val="21"/>
              </w:rPr>
            </w:pPr>
          </w:p>
        </w:tc>
      </w:tr>
      <w:tr w:rsidR="00922FD7" w:rsidTr="00922FD7">
        <w:trPr>
          <w:trHeight w:val="655"/>
        </w:trPr>
        <w:tc>
          <w:tcPr>
            <w:tcW w:w="1120" w:type="dxa"/>
            <w:tcBorders>
              <w:tl2br w:val="nil"/>
              <w:tr2bl w:val="nil"/>
            </w:tcBorders>
            <w:vAlign w:val="center"/>
          </w:tcPr>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酒店</w:t>
            </w:r>
          </w:p>
          <w:p w:rsidR="00922FD7" w:rsidRDefault="00922FD7" w:rsidP="00922FD7">
            <w:pPr>
              <w:snapToGrid w:val="0"/>
              <w:jc w:val="center"/>
              <w:rPr>
                <w:rFonts w:asciiTheme="minorEastAsia" w:hAnsiTheme="minorEastAsia" w:cs="宋体"/>
              </w:rPr>
            </w:pPr>
            <w:r>
              <w:rPr>
                <w:rFonts w:asciiTheme="minorEastAsia" w:hAnsiTheme="minorEastAsia" w:cs="黑体" w:hint="eastAsia"/>
                <w:b/>
                <w:bCs/>
                <w:sz w:val="30"/>
                <w:szCs w:val="30"/>
              </w:rPr>
              <w:t>预订</w:t>
            </w:r>
          </w:p>
        </w:tc>
        <w:tc>
          <w:tcPr>
            <w:tcW w:w="4055" w:type="dxa"/>
            <w:gridSpan w:val="3"/>
            <w:tcBorders>
              <w:tl2br w:val="nil"/>
              <w:tr2bl w:val="nil"/>
            </w:tcBorders>
            <w:vAlign w:val="center"/>
          </w:tcPr>
          <w:p w:rsidR="00922FD7" w:rsidRDefault="00922FD7" w:rsidP="00922FD7">
            <w:pPr>
              <w:jc w:val="center"/>
              <w:rPr>
                <w:rFonts w:asciiTheme="minorEastAsia" w:hAnsiTheme="minorEastAsia" w:cs="宋体"/>
              </w:rPr>
            </w:pPr>
            <w:r>
              <w:rPr>
                <w:rFonts w:asciiTheme="minorEastAsia" w:hAnsiTheme="minorEastAsia" w:cs="宋体" w:hint="eastAsia"/>
                <w:sz w:val="24"/>
                <w:szCs w:val="24"/>
              </w:rPr>
              <w:sym w:font="Wingdings 2" w:char="00A3"/>
            </w:r>
            <w:r>
              <w:rPr>
                <w:rFonts w:asciiTheme="minorEastAsia" w:hAnsiTheme="minorEastAsia" w:cs="宋体" w:hint="eastAsia"/>
                <w:sz w:val="24"/>
                <w:szCs w:val="24"/>
              </w:rPr>
              <w:t>是       □否</w:t>
            </w:r>
          </w:p>
        </w:tc>
        <w:tc>
          <w:tcPr>
            <w:tcW w:w="1298" w:type="dxa"/>
            <w:gridSpan w:val="2"/>
            <w:tcBorders>
              <w:tl2br w:val="nil"/>
              <w:tr2bl w:val="nil"/>
            </w:tcBorders>
            <w:vAlign w:val="center"/>
          </w:tcPr>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取票</w:t>
            </w:r>
          </w:p>
          <w:p w:rsidR="00922FD7" w:rsidRDefault="00922FD7" w:rsidP="00922FD7">
            <w:pPr>
              <w:snapToGrid w:val="0"/>
              <w:jc w:val="center"/>
              <w:rPr>
                <w:rFonts w:asciiTheme="minorEastAsia" w:hAnsiTheme="minorEastAsia" w:cs="宋体"/>
              </w:rPr>
            </w:pPr>
            <w:r>
              <w:rPr>
                <w:rFonts w:asciiTheme="minorEastAsia" w:hAnsiTheme="minorEastAsia" w:cs="黑体" w:hint="eastAsia"/>
                <w:b/>
                <w:bCs/>
                <w:sz w:val="30"/>
                <w:szCs w:val="30"/>
              </w:rPr>
              <w:t>方式</w:t>
            </w:r>
          </w:p>
        </w:tc>
        <w:tc>
          <w:tcPr>
            <w:tcW w:w="2766" w:type="dxa"/>
            <w:gridSpan w:val="2"/>
            <w:tcBorders>
              <w:tl2br w:val="nil"/>
              <w:tr2bl w:val="nil"/>
            </w:tcBorders>
            <w:vAlign w:val="center"/>
          </w:tcPr>
          <w:p w:rsidR="00922FD7" w:rsidRDefault="00922FD7" w:rsidP="00922FD7">
            <w:pPr>
              <w:jc w:val="center"/>
              <w:rPr>
                <w:rFonts w:asciiTheme="minorEastAsia" w:hAnsiTheme="minorEastAsia" w:cs="宋体"/>
                <w:sz w:val="24"/>
                <w:szCs w:val="24"/>
              </w:rPr>
            </w:pPr>
            <w:r>
              <w:rPr>
                <w:rFonts w:asciiTheme="minorEastAsia" w:hAnsiTheme="minorEastAsia" w:cs="宋体" w:hint="eastAsia"/>
                <w:sz w:val="24"/>
                <w:szCs w:val="24"/>
              </w:rPr>
              <w:t>□现场自取</w:t>
            </w:r>
          </w:p>
          <w:p w:rsidR="00922FD7" w:rsidRDefault="00922FD7" w:rsidP="00922FD7">
            <w:pPr>
              <w:jc w:val="center"/>
              <w:rPr>
                <w:rFonts w:asciiTheme="minorEastAsia" w:hAnsiTheme="minorEastAsia" w:cs="宋体"/>
              </w:rPr>
            </w:pPr>
            <w:r>
              <w:rPr>
                <w:rFonts w:asciiTheme="minorEastAsia" w:hAnsiTheme="minorEastAsia" w:cs="宋体" w:hint="eastAsia"/>
                <w:sz w:val="24"/>
                <w:szCs w:val="24"/>
              </w:rPr>
              <w:t>□提前邮寄</w:t>
            </w:r>
          </w:p>
        </w:tc>
      </w:tr>
      <w:tr w:rsidR="00922FD7" w:rsidTr="00922FD7">
        <w:trPr>
          <w:trHeight w:val="175"/>
        </w:trPr>
        <w:tc>
          <w:tcPr>
            <w:tcW w:w="9239" w:type="dxa"/>
            <w:gridSpan w:val="8"/>
            <w:tcBorders>
              <w:tl2br w:val="nil"/>
              <w:tr2bl w:val="nil"/>
            </w:tcBorders>
            <w:vAlign w:val="center"/>
          </w:tcPr>
          <w:p w:rsidR="00922FD7" w:rsidRPr="00922FD7" w:rsidRDefault="00922FD7" w:rsidP="00922FD7">
            <w:pPr>
              <w:snapToGrid w:val="0"/>
              <w:spacing w:before="120"/>
              <w:ind w:right="142"/>
              <w:jc w:val="center"/>
              <w:rPr>
                <w:rFonts w:asciiTheme="minorEastAsia" w:hAnsiTheme="minorEastAsia" w:cs="黑体"/>
                <w:b/>
                <w:bCs/>
                <w:sz w:val="4"/>
                <w:szCs w:val="21"/>
              </w:rPr>
            </w:pPr>
          </w:p>
        </w:tc>
      </w:tr>
      <w:tr w:rsidR="00922FD7" w:rsidTr="002A14A4">
        <w:trPr>
          <w:trHeight w:val="439"/>
        </w:trPr>
        <w:tc>
          <w:tcPr>
            <w:tcW w:w="1120" w:type="dxa"/>
            <w:tcBorders>
              <w:tl2br w:val="nil"/>
              <w:tr2bl w:val="nil"/>
            </w:tcBorders>
            <w:vAlign w:val="center"/>
          </w:tcPr>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收费</w:t>
            </w:r>
          </w:p>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标准</w:t>
            </w:r>
          </w:p>
        </w:tc>
        <w:tc>
          <w:tcPr>
            <w:tcW w:w="8119" w:type="dxa"/>
            <w:gridSpan w:val="7"/>
            <w:tcBorders>
              <w:tl2br w:val="nil"/>
              <w:tr2bl w:val="nil"/>
            </w:tcBorders>
            <w:vAlign w:val="center"/>
          </w:tcPr>
          <w:p w:rsidR="00922FD7" w:rsidRDefault="00922FD7" w:rsidP="00922FD7">
            <w:pPr>
              <w:jc w:val="center"/>
              <w:rPr>
                <w:rFonts w:asciiTheme="minorEastAsia" w:hAnsiTheme="minorEastAsia" w:cs="宋体"/>
                <w:sz w:val="24"/>
                <w:szCs w:val="24"/>
              </w:rPr>
            </w:pPr>
            <w:r>
              <w:rPr>
                <w:rFonts w:asciiTheme="minorEastAsia" w:hAnsiTheme="minorEastAsia" w:cs="宋体" w:hint="eastAsia"/>
                <w:b/>
                <w:bCs/>
                <w:sz w:val="24"/>
                <w:szCs w:val="24"/>
              </w:rPr>
              <w:t>4800元/人</w:t>
            </w:r>
            <w:r>
              <w:rPr>
                <w:rFonts w:ascii="微软雅黑" w:eastAsia="微软雅黑" w:hAnsi="微软雅黑" w:cs="微软雅黑" w:hint="eastAsia"/>
                <w:kern w:val="24"/>
                <w:sz w:val="22"/>
              </w:rPr>
              <w:t>（包括培训期间住宿：包含</w:t>
            </w:r>
            <w:r>
              <w:rPr>
                <w:rFonts w:ascii="微软雅黑" w:eastAsia="微软雅黑" w:hAnsi="微软雅黑" w:cs="微软雅黑" w:hint="eastAsia"/>
                <w:kern w:val="24"/>
                <w:sz w:val="22"/>
              </w:rPr>
              <w:t>17</w:t>
            </w:r>
            <w:r>
              <w:rPr>
                <w:rFonts w:ascii="微软雅黑" w:eastAsia="微软雅黑" w:hAnsi="微软雅黑" w:cs="微软雅黑" w:hint="eastAsia"/>
                <w:kern w:val="24"/>
                <w:sz w:val="22"/>
              </w:rPr>
              <w:t>日、</w:t>
            </w:r>
            <w:r>
              <w:rPr>
                <w:rFonts w:ascii="微软雅黑" w:eastAsia="微软雅黑" w:hAnsi="微软雅黑" w:cs="微软雅黑" w:hint="eastAsia"/>
                <w:kern w:val="24"/>
                <w:sz w:val="22"/>
              </w:rPr>
              <w:t>18</w:t>
            </w:r>
            <w:r>
              <w:rPr>
                <w:rFonts w:ascii="微软雅黑" w:eastAsia="微软雅黑" w:hAnsi="微软雅黑" w:cs="微软雅黑" w:hint="eastAsia"/>
                <w:kern w:val="24"/>
                <w:sz w:val="22"/>
              </w:rPr>
              <w:t>日两晚住宿，若没有特殊要求则房间均为商务大床房，调换房间需补差价。餐饮：包含</w:t>
            </w:r>
            <w:r>
              <w:rPr>
                <w:rFonts w:ascii="微软雅黑" w:eastAsia="微软雅黑" w:hAnsi="微软雅黑" w:cs="微软雅黑" w:hint="eastAsia"/>
                <w:kern w:val="24"/>
                <w:sz w:val="22"/>
              </w:rPr>
              <w:t>17</w:t>
            </w:r>
            <w:r>
              <w:rPr>
                <w:rFonts w:ascii="微软雅黑" w:eastAsia="微软雅黑" w:hAnsi="微软雅黑" w:cs="微软雅黑" w:hint="eastAsia"/>
                <w:kern w:val="24"/>
                <w:sz w:val="22"/>
              </w:rPr>
              <w:t>日晚宴、</w:t>
            </w:r>
            <w:r>
              <w:rPr>
                <w:rFonts w:ascii="微软雅黑" w:eastAsia="微软雅黑" w:hAnsi="微软雅黑" w:cs="微软雅黑" w:hint="eastAsia"/>
                <w:kern w:val="24"/>
                <w:sz w:val="22"/>
              </w:rPr>
              <w:t>18</w:t>
            </w:r>
            <w:r>
              <w:rPr>
                <w:rFonts w:ascii="微软雅黑" w:eastAsia="微软雅黑" w:hAnsi="微软雅黑" w:cs="微软雅黑" w:hint="eastAsia"/>
                <w:kern w:val="24"/>
                <w:sz w:val="22"/>
              </w:rPr>
              <w:t>日三餐、</w:t>
            </w:r>
            <w:r>
              <w:rPr>
                <w:rFonts w:ascii="微软雅黑" w:eastAsia="微软雅黑" w:hAnsi="微软雅黑" w:cs="微软雅黑" w:hint="eastAsia"/>
                <w:kern w:val="24"/>
                <w:sz w:val="22"/>
              </w:rPr>
              <w:t>19</w:t>
            </w:r>
            <w:r>
              <w:rPr>
                <w:rFonts w:ascii="微软雅黑" w:eastAsia="微软雅黑" w:hAnsi="微软雅黑" w:cs="微软雅黑" w:hint="eastAsia"/>
                <w:kern w:val="24"/>
                <w:sz w:val="22"/>
              </w:rPr>
              <w:t>日早午餐。不包含出发地至</w:t>
            </w:r>
            <w:r>
              <w:rPr>
                <w:rFonts w:ascii="微软雅黑" w:eastAsia="微软雅黑" w:hAnsi="微软雅黑" w:cs="微软雅黑" w:hint="eastAsia"/>
                <w:kern w:val="24"/>
                <w:sz w:val="22"/>
              </w:rPr>
              <w:t>苏州</w:t>
            </w:r>
            <w:r>
              <w:rPr>
                <w:rFonts w:ascii="微软雅黑" w:eastAsia="微软雅黑" w:hAnsi="微软雅黑" w:cs="微软雅黑" w:hint="eastAsia"/>
                <w:kern w:val="24"/>
                <w:sz w:val="22"/>
              </w:rPr>
              <w:t>的往返路费）</w:t>
            </w:r>
          </w:p>
        </w:tc>
      </w:tr>
      <w:tr w:rsidR="00922FD7" w:rsidTr="00922FD7">
        <w:trPr>
          <w:trHeight w:val="236"/>
        </w:trPr>
        <w:tc>
          <w:tcPr>
            <w:tcW w:w="9239" w:type="dxa"/>
            <w:gridSpan w:val="8"/>
            <w:tcBorders>
              <w:tl2br w:val="nil"/>
              <w:tr2bl w:val="nil"/>
            </w:tcBorders>
            <w:vAlign w:val="center"/>
          </w:tcPr>
          <w:p w:rsidR="00922FD7" w:rsidRPr="00922FD7" w:rsidRDefault="00922FD7" w:rsidP="00922FD7">
            <w:pPr>
              <w:snapToGrid w:val="0"/>
              <w:spacing w:before="120"/>
              <w:ind w:right="142"/>
              <w:jc w:val="center"/>
              <w:rPr>
                <w:rFonts w:asciiTheme="minorEastAsia" w:hAnsiTheme="minorEastAsia" w:cs="黑体"/>
                <w:b/>
                <w:bCs/>
                <w:sz w:val="4"/>
                <w:szCs w:val="21"/>
              </w:rPr>
            </w:pPr>
          </w:p>
        </w:tc>
      </w:tr>
      <w:tr w:rsidR="00922FD7" w:rsidTr="00922FD7">
        <w:trPr>
          <w:trHeight w:val="1737"/>
        </w:trPr>
        <w:tc>
          <w:tcPr>
            <w:tcW w:w="1120" w:type="dxa"/>
            <w:tcBorders>
              <w:tl2br w:val="nil"/>
              <w:tr2bl w:val="nil"/>
            </w:tcBorders>
            <w:vAlign w:val="center"/>
          </w:tcPr>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汇款</w:t>
            </w:r>
          </w:p>
          <w:p w:rsidR="00922FD7" w:rsidRDefault="00922FD7" w:rsidP="00922FD7">
            <w:pPr>
              <w:snapToGrid w:val="0"/>
              <w:jc w:val="center"/>
              <w:rPr>
                <w:rFonts w:asciiTheme="minorEastAsia" w:hAnsiTheme="minorEastAsia" w:cs="黑体"/>
                <w:b/>
                <w:bCs/>
                <w:sz w:val="30"/>
                <w:szCs w:val="30"/>
              </w:rPr>
            </w:pPr>
            <w:r>
              <w:rPr>
                <w:rFonts w:asciiTheme="minorEastAsia" w:hAnsiTheme="minorEastAsia" w:cs="黑体" w:hint="eastAsia"/>
                <w:b/>
                <w:bCs/>
                <w:sz w:val="30"/>
                <w:szCs w:val="30"/>
              </w:rPr>
              <w:t>方式</w:t>
            </w:r>
          </w:p>
        </w:tc>
        <w:tc>
          <w:tcPr>
            <w:tcW w:w="8119" w:type="dxa"/>
            <w:gridSpan w:val="7"/>
            <w:tcBorders>
              <w:tl2br w:val="nil"/>
              <w:tr2bl w:val="nil"/>
            </w:tcBorders>
            <w:vAlign w:val="center"/>
          </w:tcPr>
          <w:p w:rsidR="00922FD7" w:rsidRDefault="00922FD7" w:rsidP="00922FD7">
            <w:pPr>
              <w:snapToGrid w:val="0"/>
              <w:spacing w:before="120" w:after="120"/>
              <w:ind w:right="142"/>
              <w:jc w:val="left"/>
              <w:rPr>
                <w:rFonts w:asciiTheme="minorEastAsia" w:hAnsiTheme="minorEastAsia"/>
                <w:b/>
                <w:i/>
                <w:color w:val="000000" w:themeColor="text1"/>
              </w:rPr>
            </w:pPr>
            <w:r>
              <w:rPr>
                <w:rFonts w:asciiTheme="minorEastAsia" w:hAnsiTheme="minorEastAsia" w:cs="宋体" w:hint="eastAsia"/>
                <w:b/>
                <w:color w:val="000000" w:themeColor="text1"/>
              </w:rPr>
              <w:t>汇款单位：山东隆众信息技术有限公司</w:t>
            </w:r>
          </w:p>
          <w:p w:rsidR="00922FD7" w:rsidRDefault="00922FD7" w:rsidP="00922FD7">
            <w:pPr>
              <w:snapToGrid w:val="0"/>
              <w:spacing w:before="120" w:after="120"/>
              <w:ind w:right="142"/>
              <w:jc w:val="left"/>
              <w:rPr>
                <w:rFonts w:asciiTheme="minorEastAsia" w:hAnsiTheme="minorEastAsia"/>
                <w:b/>
                <w:i/>
                <w:color w:val="000000" w:themeColor="text1"/>
              </w:rPr>
            </w:pPr>
            <w:r>
              <w:rPr>
                <w:rFonts w:asciiTheme="minorEastAsia" w:hAnsiTheme="minorEastAsia" w:cs="宋体" w:hint="eastAsia"/>
                <w:b/>
                <w:color w:val="000000" w:themeColor="text1"/>
              </w:rPr>
              <w:t>汇款账号：</w:t>
            </w:r>
            <w:r>
              <w:rPr>
                <w:rFonts w:asciiTheme="minorEastAsia" w:hAnsiTheme="minorEastAsia" w:cs="宋体"/>
                <w:b/>
                <w:color w:val="000000" w:themeColor="text1"/>
              </w:rPr>
              <w:t>1525 6101 0400 38017</w:t>
            </w:r>
          </w:p>
          <w:p w:rsidR="00922FD7" w:rsidRDefault="00922FD7" w:rsidP="00922FD7">
            <w:pPr>
              <w:jc w:val="left"/>
              <w:rPr>
                <w:rFonts w:asciiTheme="minorEastAsia" w:hAnsiTheme="minorEastAsia" w:cs="宋体"/>
                <w:sz w:val="24"/>
                <w:szCs w:val="24"/>
              </w:rPr>
            </w:pPr>
            <w:r>
              <w:rPr>
                <w:rFonts w:asciiTheme="minorEastAsia" w:hAnsiTheme="minorEastAsia" w:cs="宋体" w:hint="eastAsia"/>
                <w:b/>
                <w:color w:val="000000" w:themeColor="text1"/>
              </w:rPr>
              <w:t>开户行：中国农业银行淄博高新技术产业开发区支行</w:t>
            </w:r>
          </w:p>
        </w:tc>
      </w:tr>
    </w:tbl>
    <w:p w:rsidR="00922FD7" w:rsidRDefault="00922FD7" w:rsidP="00922FD7">
      <w:pPr>
        <w:rPr>
          <w:color w:val="000000" w:themeColor="text1"/>
          <w:sz w:val="48"/>
          <w:szCs w:val="48"/>
          <w14:shadow w14:blurRad="63500" w14:dist="50800" w14:dir="18900000" w14:sx="0" w14:sy="0" w14:kx="0" w14:ky="0" w14:algn="none">
            <w14:srgbClr w14:val="000000">
              <w14:alpha w14:val="50000"/>
            </w14:srgbClr>
          </w14:shadow>
          <w14:reflection w14:blurRad="6350" w14:stA="53000" w14:stPos="0" w14:endA="300" w14:endPos="35500" w14:dist="0" w14:dir="5400000" w14:fadeDir="5400000" w14:sx="100000" w14:sy="-90000" w14:kx="0" w14:ky="0" w14:algn="bl"/>
          <w14:props3d w14:extrusionH="0" w14:contourW="0" w14:prstMaterial="clear"/>
        </w:rPr>
      </w:pPr>
    </w:p>
    <w:sectPr w:rsidR="00922FD7">
      <w:headerReference w:type="default" r:id="rId10"/>
      <w:pgSz w:w="11906" w:h="16838"/>
      <w:pgMar w:top="1134" w:right="1417" w:bottom="1134" w:left="141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D92" w:rsidRDefault="00516D92">
      <w:r>
        <w:separator/>
      </w:r>
    </w:p>
  </w:endnote>
  <w:endnote w:type="continuationSeparator" w:id="0">
    <w:p w:rsidR="00516D92" w:rsidRDefault="00516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2">
    <w:altName w:val="Webdings"/>
    <w:charset w:val="02"/>
    <w:family w:val="roman"/>
    <w:pitch w:val="variable"/>
    <w:sig w:usb0="00000000" w:usb1="10000000" w:usb2="00000000" w:usb3="00000000" w:csb0="80000000" w:csb1="00000000"/>
  </w:font>
  <w:font w:name="Calibri Light">
    <w:altName w:val="Arial"/>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D92" w:rsidRDefault="00516D92">
      <w:r>
        <w:separator/>
      </w:r>
    </w:p>
  </w:footnote>
  <w:footnote w:type="continuationSeparator" w:id="0">
    <w:p w:rsidR="00516D92" w:rsidRDefault="00516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E85" w:rsidRDefault="005C4628">
    <w:pPr>
      <w:pStyle w:val="a4"/>
    </w:pPr>
    <w:r>
      <w:rPr>
        <w:rFonts w:hint="eastAsia"/>
        <w:noProof/>
      </w:rPr>
      <w:drawing>
        <wp:anchor distT="0" distB="0" distL="114300" distR="114300" simplePos="0" relativeHeight="251658240" behindDoc="0" locked="0" layoutInCell="1" allowOverlap="1">
          <wp:simplePos x="0" y="0"/>
          <wp:positionH relativeFrom="column">
            <wp:posOffset>-885825</wp:posOffset>
          </wp:positionH>
          <wp:positionV relativeFrom="page">
            <wp:posOffset>635</wp:posOffset>
          </wp:positionV>
          <wp:extent cx="7601585" cy="904240"/>
          <wp:effectExtent l="0" t="0" r="18415" b="10160"/>
          <wp:wrapSquare wrapText="bothSides"/>
          <wp:docPr id="3" name="图片 3" descr="页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1)"/>
                  <pic:cNvPicPr>
                    <a:picLocks noChangeAspect="1"/>
                  </pic:cNvPicPr>
                </pic:nvPicPr>
                <pic:blipFill>
                  <a:blip r:embed="rId1"/>
                  <a:stretch>
                    <a:fillRect/>
                  </a:stretch>
                </pic:blipFill>
                <pic:spPr>
                  <a:xfrm>
                    <a:off x="0" y="0"/>
                    <a:ext cx="7601585" cy="9042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8A32B2"/>
    <w:rsid w:val="00280E85"/>
    <w:rsid w:val="002A14A4"/>
    <w:rsid w:val="00516D92"/>
    <w:rsid w:val="005C4628"/>
    <w:rsid w:val="008223A5"/>
    <w:rsid w:val="00922FD7"/>
    <w:rsid w:val="26C87C71"/>
    <w:rsid w:val="338A32B2"/>
    <w:rsid w:val="768F5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2137</Words>
  <Characters>645</Characters>
  <Application>Microsoft Office Word</Application>
  <DocSecurity>0</DocSecurity>
  <Lines>5</Lines>
  <Paragraphs>5</Paragraphs>
  <ScaleCrop>false</ScaleCrop>
  <Company/>
  <LinksUpToDate>false</LinksUpToDate>
  <CharactersWithSpaces>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棒棒糖＆果冻</dc:creator>
  <cp:lastModifiedBy>xb21cn</cp:lastModifiedBy>
  <cp:revision>4</cp:revision>
  <dcterms:created xsi:type="dcterms:W3CDTF">2019-03-08T03:04:00Z</dcterms:created>
  <dcterms:modified xsi:type="dcterms:W3CDTF">2019-03-14T08:44:00Z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